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6A1906" w14:textId="1223D076" w:rsidR="00774D95" w:rsidRDefault="00BB1C3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Отчет о деятельности Ассоциации «Совет муниципальных образований Тюменской области» в </w:t>
      </w:r>
      <w:r w:rsidR="00821ECE">
        <w:rPr>
          <w:b/>
          <w:bCs/>
          <w:sz w:val="28"/>
          <w:szCs w:val="28"/>
        </w:rPr>
        <w:t>2025</w:t>
      </w:r>
      <w:r>
        <w:rPr>
          <w:b/>
          <w:bCs/>
          <w:sz w:val="28"/>
          <w:szCs w:val="28"/>
        </w:rPr>
        <w:t xml:space="preserve"> год</w:t>
      </w:r>
      <w:r w:rsidR="00C712E9">
        <w:rPr>
          <w:b/>
          <w:bCs/>
          <w:sz w:val="28"/>
          <w:szCs w:val="28"/>
        </w:rPr>
        <w:t>у</w:t>
      </w:r>
    </w:p>
    <w:p w14:paraId="564EEB45" w14:textId="77777777" w:rsidR="00774D95" w:rsidRDefault="00774D95">
      <w:pPr>
        <w:spacing w:line="360" w:lineRule="auto"/>
        <w:ind w:firstLine="709"/>
        <w:jc w:val="both"/>
        <w:rPr>
          <w:sz w:val="28"/>
          <w:szCs w:val="28"/>
        </w:rPr>
      </w:pPr>
    </w:p>
    <w:p w14:paraId="6D7C3CF3" w14:textId="584F64BB" w:rsidR="00D75B97" w:rsidRPr="00D75B97" w:rsidRDefault="00D75B97" w:rsidP="00D75B97">
      <w:pPr>
        <w:spacing w:line="360" w:lineRule="auto"/>
        <w:ind w:firstLine="709"/>
        <w:jc w:val="both"/>
        <w:rPr>
          <w:sz w:val="28"/>
          <w:szCs w:val="28"/>
        </w:rPr>
      </w:pPr>
      <w:r w:rsidRPr="00D75B97">
        <w:rPr>
          <w:sz w:val="28"/>
          <w:szCs w:val="28"/>
        </w:rPr>
        <w:t xml:space="preserve">В 2025 году Ассоциация «Совет муниципальных образований Тюменской области» (далее Совет) в соответствии с Уставом и Резолюцией XV Съезда Совета продолжала системную работу, направленную на поддержку и развитие муниципалитетов региона. В отчетный период основными направлениями деятельности </w:t>
      </w:r>
      <w:r>
        <w:rPr>
          <w:sz w:val="28"/>
          <w:szCs w:val="28"/>
        </w:rPr>
        <w:t>являлись</w:t>
      </w:r>
      <w:r w:rsidRPr="00D75B97">
        <w:rPr>
          <w:sz w:val="28"/>
          <w:szCs w:val="28"/>
        </w:rPr>
        <w:t>:</w:t>
      </w:r>
    </w:p>
    <w:p w14:paraId="2B7C74B7" w14:textId="0C179FCF" w:rsidR="00D75B97" w:rsidRPr="00D75B97" w:rsidRDefault="00D75B97" w:rsidP="00D7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5B97">
        <w:rPr>
          <w:sz w:val="28"/>
          <w:szCs w:val="28"/>
        </w:rPr>
        <w:t xml:space="preserve"> Развитие межмуниципального взаимодействия в Тюменской области на всех уровнях, а также укрепление экономической, правовой, организационной и территориальной основы местного самоуправления, включая работу в условиях возможных изменений федерального законодательства.</w:t>
      </w:r>
    </w:p>
    <w:p w14:paraId="60965843" w14:textId="11340F36" w:rsidR="00D75B97" w:rsidRPr="00D75B97" w:rsidRDefault="00D75B97" w:rsidP="00D7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5B97">
        <w:rPr>
          <w:sz w:val="28"/>
          <w:szCs w:val="28"/>
        </w:rPr>
        <w:t xml:space="preserve"> Поддержка гражданской инициативы </w:t>
      </w:r>
      <w:r w:rsidR="00C10D0E">
        <w:rPr>
          <w:sz w:val="28"/>
          <w:szCs w:val="28"/>
        </w:rPr>
        <w:t xml:space="preserve">в </w:t>
      </w:r>
      <w:r w:rsidRPr="00D75B97">
        <w:rPr>
          <w:sz w:val="28"/>
          <w:szCs w:val="28"/>
        </w:rPr>
        <w:t>муниципальных образовани</w:t>
      </w:r>
      <w:r w:rsidR="00C10D0E">
        <w:rPr>
          <w:sz w:val="28"/>
          <w:szCs w:val="28"/>
        </w:rPr>
        <w:t>ях региона</w:t>
      </w:r>
      <w:r>
        <w:rPr>
          <w:sz w:val="28"/>
          <w:szCs w:val="28"/>
        </w:rPr>
        <w:t xml:space="preserve"> через обучение </w:t>
      </w:r>
      <w:r w:rsidRPr="00D75B97">
        <w:rPr>
          <w:sz w:val="28"/>
          <w:szCs w:val="28"/>
        </w:rPr>
        <w:t xml:space="preserve">активных </w:t>
      </w:r>
      <w:r w:rsidR="00C10D0E">
        <w:rPr>
          <w:sz w:val="28"/>
          <w:szCs w:val="28"/>
        </w:rPr>
        <w:t>жителей использованию</w:t>
      </w:r>
      <w:r w:rsidRPr="00D75B97">
        <w:rPr>
          <w:sz w:val="28"/>
          <w:szCs w:val="28"/>
        </w:rPr>
        <w:t xml:space="preserve"> современны</w:t>
      </w:r>
      <w:r w:rsidR="00C10D0E">
        <w:rPr>
          <w:sz w:val="28"/>
          <w:szCs w:val="28"/>
        </w:rPr>
        <w:t>х</w:t>
      </w:r>
      <w:r w:rsidRPr="00D75B97">
        <w:rPr>
          <w:sz w:val="28"/>
          <w:szCs w:val="28"/>
        </w:rPr>
        <w:t xml:space="preserve"> инструмент</w:t>
      </w:r>
      <w:r w:rsidR="00C10D0E">
        <w:rPr>
          <w:sz w:val="28"/>
          <w:szCs w:val="28"/>
        </w:rPr>
        <w:t>ов</w:t>
      </w:r>
      <w:r>
        <w:rPr>
          <w:sz w:val="28"/>
          <w:szCs w:val="28"/>
        </w:rPr>
        <w:t xml:space="preserve"> вовлечения </w:t>
      </w:r>
      <w:r w:rsidR="00C10D0E">
        <w:rPr>
          <w:sz w:val="28"/>
          <w:szCs w:val="28"/>
        </w:rPr>
        <w:t xml:space="preserve">граждан в </w:t>
      </w:r>
      <w:r>
        <w:rPr>
          <w:sz w:val="28"/>
          <w:szCs w:val="28"/>
        </w:rPr>
        <w:t>бюджетные процессы</w:t>
      </w:r>
      <w:r w:rsidRPr="00D75B97">
        <w:rPr>
          <w:sz w:val="28"/>
          <w:szCs w:val="28"/>
        </w:rPr>
        <w:t>.</w:t>
      </w:r>
    </w:p>
    <w:p w14:paraId="5550E19B" w14:textId="0779E29D" w:rsidR="00D75B97" w:rsidRPr="00D75B97" w:rsidRDefault="00D75B97" w:rsidP="00D7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75B97">
        <w:rPr>
          <w:sz w:val="28"/>
          <w:szCs w:val="28"/>
        </w:rPr>
        <w:t xml:space="preserve"> </w:t>
      </w:r>
      <w:r w:rsidR="00AB3900">
        <w:rPr>
          <w:sz w:val="28"/>
          <w:szCs w:val="28"/>
        </w:rPr>
        <w:t>П</w:t>
      </w:r>
      <w:r w:rsidR="00AB3900" w:rsidRPr="00AB3900">
        <w:rPr>
          <w:sz w:val="28"/>
          <w:szCs w:val="28"/>
        </w:rPr>
        <w:t xml:space="preserve">росветительская деятельность с использованием современных форматов коммуникации. </w:t>
      </w:r>
    </w:p>
    <w:p w14:paraId="1AEBDE57" w14:textId="69F74B98" w:rsidR="00D75B97" w:rsidRPr="00D75B97" w:rsidRDefault="00C10D0E" w:rsidP="00D7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0D0E">
        <w:rPr>
          <w:sz w:val="28"/>
          <w:szCs w:val="28"/>
        </w:rPr>
        <w:t xml:space="preserve">Развитие кадрового потенциала муниципальных образований. </w:t>
      </w:r>
    </w:p>
    <w:p w14:paraId="65BD70B7" w14:textId="4B5EB374" w:rsidR="00D75B97" w:rsidRPr="00D75B97" w:rsidRDefault="00C10D0E" w:rsidP="00D7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5B97" w:rsidRPr="00D75B97">
        <w:rPr>
          <w:sz w:val="28"/>
          <w:szCs w:val="28"/>
        </w:rPr>
        <w:t xml:space="preserve">Правовая и методическая помощь муниципалитетам. </w:t>
      </w:r>
      <w:r w:rsidR="00E4148E">
        <w:rPr>
          <w:sz w:val="28"/>
          <w:szCs w:val="28"/>
        </w:rPr>
        <w:t>О</w:t>
      </w:r>
      <w:r w:rsidR="00D75B97" w:rsidRPr="00D75B97">
        <w:rPr>
          <w:sz w:val="28"/>
          <w:szCs w:val="28"/>
        </w:rPr>
        <w:t>каз</w:t>
      </w:r>
      <w:r w:rsidR="00E4148E">
        <w:rPr>
          <w:sz w:val="28"/>
          <w:szCs w:val="28"/>
        </w:rPr>
        <w:t>ание</w:t>
      </w:r>
      <w:r w:rsidR="00D75B97" w:rsidRPr="00D75B97">
        <w:rPr>
          <w:sz w:val="28"/>
          <w:szCs w:val="28"/>
        </w:rPr>
        <w:t xml:space="preserve"> поддержк</w:t>
      </w:r>
      <w:r w:rsidR="00E4148E">
        <w:rPr>
          <w:sz w:val="28"/>
          <w:szCs w:val="28"/>
        </w:rPr>
        <w:t>и</w:t>
      </w:r>
      <w:r w:rsidR="00D75B97" w:rsidRPr="00D75B97">
        <w:rPr>
          <w:sz w:val="28"/>
          <w:szCs w:val="28"/>
        </w:rPr>
        <w:t xml:space="preserve"> по широкому кругу вопросов, включая подготовку предложений о внесении изменений в региональные и федеральные нормативные акты, исходя из запросов муниципальных образований Тюменской области.</w:t>
      </w:r>
    </w:p>
    <w:p w14:paraId="26D3CFFB" w14:textId="2BAD594F" w:rsidR="00774D95" w:rsidRDefault="00C10D0E" w:rsidP="00D75B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75B97" w:rsidRPr="00D75B97">
        <w:rPr>
          <w:sz w:val="28"/>
          <w:szCs w:val="28"/>
        </w:rPr>
        <w:t xml:space="preserve"> Содействие гуманитарным и волонтерским инициативам, направленным на поддержку граждан России, принимающих участие в военных действиях, их семей, а также жителей, оказавшихся в сложной жизненной ситуации в результате боевых действий.</w:t>
      </w:r>
    </w:p>
    <w:p w14:paraId="26DE8E87" w14:textId="77777777" w:rsidR="00774D95" w:rsidRDefault="00774D95">
      <w:pPr>
        <w:spacing w:line="360" w:lineRule="auto"/>
        <w:ind w:firstLine="709"/>
        <w:jc w:val="both"/>
        <w:rPr>
          <w:sz w:val="28"/>
          <w:szCs w:val="28"/>
        </w:rPr>
      </w:pPr>
    </w:p>
    <w:p w14:paraId="430E8950" w14:textId="77777777" w:rsidR="00774D95" w:rsidRDefault="00BB1C34">
      <w:pPr>
        <w:numPr>
          <w:ilvl w:val="0"/>
          <w:numId w:val="2"/>
        </w:numPr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РАЗВИТИЕ ГРАЖДАНСКОЙ ИНИЦИАТИВЫ</w:t>
      </w:r>
    </w:p>
    <w:p w14:paraId="07FC73CF" w14:textId="701420A7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Одним из ключевых направлений деятельности Совета в 2025 году стало развитие гражданской инициативы в муниципальных образованиях </w:t>
      </w:r>
      <w:r w:rsidRPr="00536C35">
        <w:rPr>
          <w:sz w:val="28"/>
          <w:szCs w:val="28"/>
        </w:rPr>
        <w:lastRenderedPageBreak/>
        <w:t xml:space="preserve">Тюменской области. Особый акцент сделан на </w:t>
      </w:r>
      <w:r w:rsidR="00E4148E">
        <w:rPr>
          <w:sz w:val="28"/>
          <w:szCs w:val="28"/>
        </w:rPr>
        <w:t>развитии</w:t>
      </w:r>
      <w:r w:rsidRPr="00536C35">
        <w:rPr>
          <w:sz w:val="28"/>
          <w:szCs w:val="28"/>
        </w:rPr>
        <w:t xml:space="preserve"> территориального общественного самоуправления и продвижении механизмов участия жителей в решении вопросов местного значения. Эта работа </w:t>
      </w:r>
      <w:r w:rsidR="00E4148E">
        <w:rPr>
          <w:sz w:val="28"/>
          <w:szCs w:val="28"/>
        </w:rPr>
        <w:t>соединила:</w:t>
      </w:r>
      <w:r w:rsidRPr="00536C35">
        <w:rPr>
          <w:sz w:val="28"/>
          <w:szCs w:val="28"/>
        </w:rPr>
        <w:t xml:space="preserve"> обучение, методическую поддержку и развитие горизонтальных связей между активными гражданами.</w:t>
      </w:r>
    </w:p>
    <w:p w14:paraId="6D55C069" w14:textId="75799FBC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>С 2019 года Совет реализует проект «Школа ТОС», направленный на просветительскую и организационно-методическую поддержку развития территориального общественного самоуправления. Для распространения опыта работают сайт проекта</w:t>
      </w:r>
      <w:r w:rsidR="00E4148E">
        <w:rPr>
          <w:sz w:val="28"/>
          <w:szCs w:val="28"/>
        </w:rPr>
        <w:t xml:space="preserve"> </w:t>
      </w:r>
      <w:proofErr w:type="spellStart"/>
      <w:r w:rsidR="00E4148E">
        <w:rPr>
          <w:sz w:val="28"/>
          <w:szCs w:val="28"/>
          <w:lang w:val="en-US"/>
        </w:rPr>
        <w:t>shkolotos</w:t>
      </w:r>
      <w:proofErr w:type="spellEnd"/>
      <w:r w:rsidR="00E4148E" w:rsidRPr="00E4148E">
        <w:rPr>
          <w:sz w:val="28"/>
          <w:szCs w:val="28"/>
        </w:rPr>
        <w:t>.</w:t>
      </w:r>
      <w:proofErr w:type="spellStart"/>
      <w:r w:rsidR="00E4148E">
        <w:rPr>
          <w:sz w:val="28"/>
          <w:szCs w:val="28"/>
          <w:lang w:val="en-US"/>
        </w:rPr>
        <w:t>ru</w:t>
      </w:r>
      <w:proofErr w:type="spellEnd"/>
      <w:r w:rsidRPr="00536C35">
        <w:rPr>
          <w:sz w:val="28"/>
          <w:szCs w:val="28"/>
        </w:rPr>
        <w:t xml:space="preserve">, </w:t>
      </w:r>
      <w:proofErr w:type="spellStart"/>
      <w:r w:rsidRPr="00536C35">
        <w:rPr>
          <w:sz w:val="28"/>
          <w:szCs w:val="28"/>
        </w:rPr>
        <w:t>Telegram</w:t>
      </w:r>
      <w:proofErr w:type="spellEnd"/>
      <w:r w:rsidRPr="00536C35">
        <w:rPr>
          <w:sz w:val="28"/>
          <w:szCs w:val="28"/>
        </w:rPr>
        <w:t>-канал и группа во «ВКонтакте», где публикуются новости, методические материалы и видеоролики, подготовленные по итогам выездов в муниципалитеты. Эти ресурсы служат практическим инструментом для активистов ТОС, муниципальных служащих и жителей, вовлечённых в развитие территорий.</w:t>
      </w:r>
    </w:p>
    <w:p w14:paraId="1C9515F7" w14:textId="340E82A9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В 2025 году «Школа ТОС» завершала реализацию гранта Губернатора Тюменской области 2024–2025 годов и одновременно получила поддержку нового гранта на сезон 2025–2026. За год проведено три крупных кустовых семинара и региональный Форум органов ТОС. В апреле в Тюмени состоялся межмуниципальный семинар для представителей г. Тюмени, Исетского, Нижнетавдинского и Тюменского </w:t>
      </w:r>
      <w:r w:rsidR="00E4148E">
        <w:rPr>
          <w:sz w:val="28"/>
          <w:szCs w:val="28"/>
        </w:rPr>
        <w:t>округов</w:t>
      </w:r>
      <w:r w:rsidRPr="00536C35">
        <w:rPr>
          <w:sz w:val="28"/>
          <w:szCs w:val="28"/>
        </w:rPr>
        <w:t>. В мае в Тобольске прошёл семинар для северных муниципалитетов, где обсуждались лучшие практики деятельности ТОС и вопросы финансирования инициатив. В июне в Тюмени проведён итоговый Форум с участием экспертов из российских регионов, представителей органов власти.</w:t>
      </w:r>
      <w:r>
        <w:rPr>
          <w:sz w:val="28"/>
          <w:szCs w:val="28"/>
        </w:rPr>
        <w:t xml:space="preserve"> Участие в нём приняли более 100 человек. </w:t>
      </w:r>
    </w:p>
    <w:p w14:paraId="0BAB861C" w14:textId="58B056A6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В ноябре стартовал новый сезон «Школы ТОС». Первый кустовой семинар прошёл в Ишимском </w:t>
      </w:r>
      <w:r w:rsidR="00E4148E">
        <w:rPr>
          <w:sz w:val="28"/>
          <w:szCs w:val="28"/>
        </w:rPr>
        <w:t>округе</w:t>
      </w:r>
      <w:r w:rsidRPr="00536C35">
        <w:rPr>
          <w:sz w:val="28"/>
          <w:szCs w:val="28"/>
        </w:rPr>
        <w:t xml:space="preserve"> и объединил активистов из восьми муниципальных округов юга области. Программа сезона ориентирована на практическую работу, включая деловую игру «Малые территории </w:t>
      </w:r>
      <w:r>
        <w:rPr>
          <w:sz w:val="28"/>
          <w:szCs w:val="28"/>
        </w:rPr>
        <w:t xml:space="preserve">- </w:t>
      </w:r>
      <w:r w:rsidRPr="00536C35">
        <w:rPr>
          <w:sz w:val="28"/>
          <w:szCs w:val="28"/>
        </w:rPr>
        <w:t>большие цели», в рамках которой участники учатся увязывать деятельность ТОС с целями национальных проектов и возможностями финансирования.</w:t>
      </w:r>
    </w:p>
    <w:p w14:paraId="361DCD48" w14:textId="6749C294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Помимо реализации собственных программ, Совет представлял опыт Тюменской области на федеральных площадках. В январе представители </w:t>
      </w:r>
      <w:r w:rsidRPr="00536C35">
        <w:rPr>
          <w:sz w:val="28"/>
          <w:szCs w:val="28"/>
        </w:rPr>
        <w:lastRenderedPageBreak/>
        <w:t>Совета выступили на всероссийском вебинаре «Команда ТОС»</w:t>
      </w:r>
      <w:r w:rsidR="00E4148E">
        <w:rPr>
          <w:sz w:val="28"/>
          <w:szCs w:val="28"/>
        </w:rPr>
        <w:t xml:space="preserve">, </w:t>
      </w:r>
      <w:r w:rsidRPr="00536C35">
        <w:rPr>
          <w:sz w:val="28"/>
          <w:szCs w:val="28"/>
        </w:rPr>
        <w:t>где рассказали о формировании команд и методах вовлечения граждан.</w:t>
      </w:r>
      <w:r w:rsidR="00E4148E">
        <w:rPr>
          <w:sz w:val="28"/>
          <w:szCs w:val="28"/>
        </w:rPr>
        <w:t xml:space="preserve"> В</w:t>
      </w:r>
      <w:r w:rsidR="00E4148E">
        <w:rPr>
          <w:sz w:val="28"/>
          <w:szCs w:val="28"/>
        </w:rPr>
        <w:t xml:space="preserve"> августе осуществлен выезд в г. Луганск для встречи с активистами ТОС</w:t>
      </w:r>
      <w:r w:rsidR="00E4148E">
        <w:rPr>
          <w:sz w:val="28"/>
          <w:szCs w:val="28"/>
        </w:rPr>
        <w:t>.</w:t>
      </w:r>
      <w:r w:rsidRPr="00536C35">
        <w:rPr>
          <w:sz w:val="28"/>
          <w:szCs w:val="28"/>
        </w:rPr>
        <w:t xml:space="preserve"> В октябре Совет участвовал во встрече, организованной Тюменской городской Думой, с представителями двенадцати российских городов. В сентябре на федеральном ресурсе ОАТОС опубликовано интервью управляющего делами Совета о развитии ТОС в регионе.</w:t>
      </w:r>
    </w:p>
    <w:p w14:paraId="64E29E02" w14:textId="77777777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>Отдельным направлением стала популяризация инициативного бюджетирования. На публичных мероприятиях участникам представили возможности механизма, новые правила и успешные примеры реализации проектов. В 2025 году поддержанный Советом проект «</w:t>
      </w:r>
      <w:proofErr w:type="spellStart"/>
      <w:r w:rsidRPr="00536C35">
        <w:rPr>
          <w:sz w:val="28"/>
          <w:szCs w:val="28"/>
        </w:rPr>
        <w:t>Игродвор</w:t>
      </w:r>
      <w:proofErr w:type="spellEnd"/>
      <w:r w:rsidRPr="00536C35">
        <w:rPr>
          <w:sz w:val="28"/>
          <w:szCs w:val="28"/>
        </w:rPr>
        <w:t>» ТОС «Квадрат» г. Тюмени получил финансирование по этой программе. Продолжилось сопровождение проекта «Музыкальный коворкинг», победителя инициативного бюджетирования 2022 года, который стабильно развивается благодаря поддержке жителей и органов власти.</w:t>
      </w:r>
    </w:p>
    <w:p w14:paraId="5FE1A78B" w14:textId="4963855F" w:rsidR="00774D9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Работа Совета в 2025 году способствовала укреплению механизмов гражданского участия на территории региона. Развитие проектов ТОС, продвижение инициативного бюджетирования, </w:t>
      </w:r>
      <w:proofErr w:type="spellStart"/>
      <w:r w:rsidRPr="00536C35">
        <w:rPr>
          <w:sz w:val="28"/>
          <w:szCs w:val="28"/>
        </w:rPr>
        <w:t>практикоориентированные</w:t>
      </w:r>
      <w:proofErr w:type="spellEnd"/>
      <w:r w:rsidRPr="00536C35">
        <w:rPr>
          <w:sz w:val="28"/>
          <w:szCs w:val="28"/>
        </w:rPr>
        <w:t xml:space="preserve"> образовательные форматы и расширение межмуниципального взаимодействия сформировали устойчивые условия для вовлечения жителей в развитие своих территорий и повышения качества местных инициатив.</w:t>
      </w:r>
    </w:p>
    <w:p w14:paraId="10AD4044" w14:textId="77777777" w:rsidR="007E2BA0" w:rsidRPr="007E2BA0" w:rsidRDefault="007E2BA0" w:rsidP="0063030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6EE56E03" w14:textId="77777777" w:rsidR="00774D95" w:rsidRDefault="00BB1C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 xml:space="preserve">. </w:t>
      </w:r>
      <w:r w:rsidRPr="004649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РАЗВИТИЕ КАДРОВОГО ПОТЕНЦИАЛА</w:t>
      </w:r>
    </w:p>
    <w:p w14:paraId="02CC8131" w14:textId="23C5CA65" w:rsidR="00573892" w:rsidRPr="00573892" w:rsidRDefault="00573892" w:rsidP="00573892">
      <w:pPr>
        <w:spacing w:line="360" w:lineRule="auto"/>
        <w:ind w:firstLine="709"/>
        <w:jc w:val="both"/>
        <w:rPr>
          <w:sz w:val="28"/>
          <w:szCs w:val="28"/>
        </w:rPr>
      </w:pPr>
      <w:r w:rsidRPr="00573892">
        <w:rPr>
          <w:sz w:val="28"/>
          <w:szCs w:val="28"/>
        </w:rPr>
        <w:t xml:space="preserve">В 2025 году работа </w:t>
      </w:r>
      <w:r w:rsidR="00CB2686">
        <w:rPr>
          <w:sz w:val="28"/>
          <w:szCs w:val="28"/>
        </w:rPr>
        <w:t>по р</w:t>
      </w:r>
      <w:r w:rsidR="00CB2686" w:rsidRPr="00CB2686">
        <w:rPr>
          <w:sz w:val="28"/>
          <w:szCs w:val="28"/>
        </w:rPr>
        <w:t>азвити</w:t>
      </w:r>
      <w:r w:rsidR="00CB2686">
        <w:rPr>
          <w:sz w:val="28"/>
          <w:szCs w:val="28"/>
        </w:rPr>
        <w:t>ю</w:t>
      </w:r>
      <w:r w:rsidR="00CB2686" w:rsidRPr="00CB2686">
        <w:rPr>
          <w:sz w:val="28"/>
          <w:szCs w:val="28"/>
        </w:rPr>
        <w:t xml:space="preserve"> кадрового потенциала муниципальных служащих Тюменской области </w:t>
      </w:r>
      <w:r w:rsidRPr="00573892">
        <w:rPr>
          <w:sz w:val="28"/>
          <w:szCs w:val="28"/>
        </w:rPr>
        <w:t>велась во взаимодействии с региональными органами власти и Всероссийской ассоциацией развития местного самоуправления, что позволило обеспечить широкое вовлечение муниципалитетов в обучающие программы и мероприятия.</w:t>
      </w:r>
    </w:p>
    <w:p w14:paraId="552F32B9" w14:textId="02A27BFB" w:rsidR="00573892" w:rsidRPr="00573892" w:rsidRDefault="00573892" w:rsidP="00573892">
      <w:pPr>
        <w:spacing w:line="360" w:lineRule="auto"/>
        <w:ind w:firstLine="709"/>
        <w:jc w:val="both"/>
        <w:rPr>
          <w:sz w:val="28"/>
          <w:szCs w:val="28"/>
        </w:rPr>
      </w:pPr>
      <w:r w:rsidRPr="00573892">
        <w:rPr>
          <w:sz w:val="28"/>
          <w:szCs w:val="28"/>
        </w:rPr>
        <w:t xml:space="preserve">В марте и апреле 2025 года Совет совместно с департаментами социального развития и здравоохранения Тюменской области провел четыре выездных учебных мероприятия в Ишиме, Тобольске, Нижнетавдинском и </w:t>
      </w:r>
      <w:r w:rsidRPr="00573892">
        <w:rPr>
          <w:sz w:val="28"/>
          <w:szCs w:val="28"/>
        </w:rPr>
        <w:lastRenderedPageBreak/>
        <w:t xml:space="preserve">Упоровском муниципальных </w:t>
      </w:r>
      <w:r w:rsidR="00E4148E">
        <w:rPr>
          <w:sz w:val="28"/>
          <w:szCs w:val="28"/>
        </w:rPr>
        <w:t>округах</w:t>
      </w:r>
      <w:r w:rsidR="00F01482">
        <w:rPr>
          <w:sz w:val="28"/>
          <w:szCs w:val="28"/>
        </w:rPr>
        <w:t>. Выезды организованы по кустовому принципу, что позволило вовлечь все муниципалитеты</w:t>
      </w:r>
      <w:r w:rsidRPr="00573892">
        <w:rPr>
          <w:sz w:val="28"/>
          <w:szCs w:val="28"/>
        </w:rPr>
        <w:t xml:space="preserve">. </w:t>
      </w:r>
      <w:r w:rsidR="00AF735C">
        <w:rPr>
          <w:sz w:val="28"/>
          <w:szCs w:val="28"/>
        </w:rPr>
        <w:t>В их рамках проведены с</w:t>
      </w:r>
      <w:r w:rsidR="00AF735C" w:rsidRPr="00AF735C">
        <w:rPr>
          <w:sz w:val="28"/>
          <w:szCs w:val="28"/>
        </w:rPr>
        <w:t xml:space="preserve">тратегические сессии </w:t>
      </w:r>
      <w:r w:rsidR="00AF735C">
        <w:rPr>
          <w:sz w:val="28"/>
          <w:szCs w:val="28"/>
        </w:rPr>
        <w:t>по тематике н</w:t>
      </w:r>
      <w:r w:rsidR="00AF735C" w:rsidRPr="00AF735C">
        <w:rPr>
          <w:sz w:val="28"/>
          <w:szCs w:val="28"/>
        </w:rPr>
        <w:t>ациональны</w:t>
      </w:r>
      <w:r w:rsidR="00AF735C">
        <w:rPr>
          <w:sz w:val="28"/>
          <w:szCs w:val="28"/>
        </w:rPr>
        <w:t>х</w:t>
      </w:r>
      <w:r w:rsidR="00AF735C" w:rsidRPr="00AF735C">
        <w:rPr>
          <w:sz w:val="28"/>
          <w:szCs w:val="28"/>
        </w:rPr>
        <w:t xml:space="preserve"> проект</w:t>
      </w:r>
      <w:r w:rsidR="00AF735C">
        <w:rPr>
          <w:sz w:val="28"/>
          <w:szCs w:val="28"/>
        </w:rPr>
        <w:t>ов</w:t>
      </w:r>
      <w:r w:rsidR="00AF735C" w:rsidRPr="00AF735C">
        <w:rPr>
          <w:sz w:val="28"/>
          <w:szCs w:val="28"/>
        </w:rPr>
        <w:t xml:space="preserve"> «Семья»</w:t>
      </w:r>
      <w:r w:rsidR="00AF735C">
        <w:rPr>
          <w:sz w:val="28"/>
          <w:szCs w:val="28"/>
        </w:rPr>
        <w:t xml:space="preserve"> и </w:t>
      </w:r>
      <w:r w:rsidR="00AF735C" w:rsidRPr="00AF735C">
        <w:rPr>
          <w:sz w:val="28"/>
          <w:szCs w:val="28"/>
        </w:rPr>
        <w:t xml:space="preserve">«Продолжительная и активная жизнь», </w:t>
      </w:r>
      <w:r w:rsidR="00AF735C">
        <w:rPr>
          <w:sz w:val="28"/>
          <w:szCs w:val="28"/>
        </w:rPr>
        <w:t xml:space="preserve">а также о </w:t>
      </w:r>
      <w:r w:rsidR="00AF735C" w:rsidRPr="00AF735C">
        <w:rPr>
          <w:sz w:val="28"/>
          <w:szCs w:val="28"/>
        </w:rPr>
        <w:t>рол</w:t>
      </w:r>
      <w:r w:rsidR="00AF735C">
        <w:rPr>
          <w:sz w:val="28"/>
          <w:szCs w:val="28"/>
        </w:rPr>
        <w:t>и</w:t>
      </w:r>
      <w:r w:rsidR="00AF735C" w:rsidRPr="00AF735C">
        <w:rPr>
          <w:sz w:val="28"/>
          <w:szCs w:val="28"/>
        </w:rPr>
        <w:t xml:space="preserve"> муниципальных образований в реализации национальных целей развит</w:t>
      </w:r>
      <w:r w:rsidR="00AF735C">
        <w:rPr>
          <w:sz w:val="28"/>
          <w:szCs w:val="28"/>
        </w:rPr>
        <w:t>ия</w:t>
      </w:r>
      <w:r w:rsidR="00AF735C" w:rsidRPr="00AF735C">
        <w:rPr>
          <w:sz w:val="28"/>
          <w:szCs w:val="28"/>
        </w:rPr>
        <w:t xml:space="preserve">. </w:t>
      </w:r>
      <w:r w:rsidR="00AF735C">
        <w:rPr>
          <w:sz w:val="28"/>
          <w:szCs w:val="28"/>
        </w:rPr>
        <w:t>Кроме того, в</w:t>
      </w:r>
      <w:r w:rsidR="00AF735C" w:rsidRPr="00AF735C">
        <w:rPr>
          <w:sz w:val="28"/>
          <w:szCs w:val="28"/>
        </w:rPr>
        <w:t xml:space="preserve"> рамках данных мероприятий обсуждены вопросы реализации нового национального проекта «Семья», участия муниципа</w:t>
      </w:r>
      <w:r w:rsidR="00F01482">
        <w:rPr>
          <w:sz w:val="28"/>
          <w:szCs w:val="28"/>
        </w:rPr>
        <w:t>литетов</w:t>
      </w:r>
      <w:r w:rsidR="00AF735C" w:rsidRPr="00AF735C">
        <w:rPr>
          <w:sz w:val="28"/>
          <w:szCs w:val="28"/>
        </w:rPr>
        <w:t xml:space="preserve"> в достижении установленных национальным проектом показателей, показателей оценки Губернатора Тюменской области, затронуты вопросы совместного ведения, совместных проектов и мероприятий государственных программ.</w:t>
      </w:r>
      <w:r w:rsidRPr="00573892">
        <w:rPr>
          <w:sz w:val="28"/>
          <w:szCs w:val="28"/>
        </w:rPr>
        <w:t xml:space="preserve"> В </w:t>
      </w:r>
      <w:r w:rsidR="00AF735C">
        <w:rPr>
          <w:sz w:val="28"/>
          <w:szCs w:val="28"/>
        </w:rPr>
        <w:t xml:space="preserve">учебных </w:t>
      </w:r>
      <w:r w:rsidRPr="00573892">
        <w:rPr>
          <w:sz w:val="28"/>
          <w:szCs w:val="28"/>
        </w:rPr>
        <w:t>мероприятиях участвовали муниципальные служащие, представители социально</w:t>
      </w:r>
      <w:r w:rsidR="00F01482">
        <w:rPr>
          <w:sz w:val="28"/>
          <w:szCs w:val="28"/>
        </w:rPr>
        <w:t>-</w:t>
      </w:r>
      <w:r w:rsidRPr="00573892">
        <w:rPr>
          <w:sz w:val="28"/>
          <w:szCs w:val="28"/>
        </w:rPr>
        <w:t xml:space="preserve">ориентированных некоммерческих организаций, </w:t>
      </w:r>
      <w:proofErr w:type="spellStart"/>
      <w:r w:rsidRPr="00573892">
        <w:rPr>
          <w:sz w:val="28"/>
          <w:szCs w:val="28"/>
        </w:rPr>
        <w:t>инвестагентства</w:t>
      </w:r>
      <w:proofErr w:type="spellEnd"/>
      <w:r w:rsidRPr="00573892">
        <w:rPr>
          <w:sz w:val="28"/>
          <w:szCs w:val="28"/>
        </w:rPr>
        <w:t>, учреждений социальной защиты, центра занятости, бизнеса и медицинского сообщества. Каждая сессия собрала не менее 60 участников.</w:t>
      </w:r>
    </w:p>
    <w:p w14:paraId="0A8FD941" w14:textId="23DEAFE8" w:rsidR="00573892" w:rsidRPr="00573892" w:rsidRDefault="00F01482" w:rsidP="0057389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573892" w:rsidRPr="00573892">
        <w:rPr>
          <w:sz w:val="28"/>
          <w:szCs w:val="28"/>
        </w:rPr>
        <w:t xml:space="preserve"> получил высокую оценку со стороны муниципальн</w:t>
      </w:r>
      <w:r>
        <w:rPr>
          <w:sz w:val="28"/>
          <w:szCs w:val="28"/>
        </w:rPr>
        <w:t xml:space="preserve">ого сообщества </w:t>
      </w:r>
      <w:r w:rsidR="00573892" w:rsidRPr="00573892">
        <w:rPr>
          <w:sz w:val="28"/>
          <w:szCs w:val="28"/>
        </w:rPr>
        <w:t xml:space="preserve">и представителей областного правительства. Отмечена качественная организационная работа Совета, обеспечившая эффективное взаимодействие всех сторон. </w:t>
      </w:r>
    </w:p>
    <w:p w14:paraId="2BEA349E" w14:textId="36C26D06" w:rsidR="00573892" w:rsidRPr="00573892" w:rsidRDefault="00573892" w:rsidP="00573892">
      <w:pPr>
        <w:spacing w:line="360" w:lineRule="auto"/>
        <w:ind w:firstLine="709"/>
        <w:jc w:val="both"/>
        <w:rPr>
          <w:sz w:val="28"/>
          <w:szCs w:val="28"/>
        </w:rPr>
      </w:pPr>
      <w:r w:rsidRPr="00573892">
        <w:rPr>
          <w:sz w:val="28"/>
          <w:szCs w:val="28"/>
        </w:rPr>
        <w:t xml:space="preserve">Значимым событием 2025 года стало участие Тюменской области в первом сезоне проекта ВАРМСУ «Муниципальный наставник». В рамках проекта в каждом регионе формируются пары наставников и наставляемых из числа глав муниципальных образований с различным профессиональным опытом. В июне при участии аппарата Губернатора Тюменской области определены представители региона и сотрудники аппарата Совета, ответственные за сопровождение проекта. Главам Армизонского и Ярковского муниципальных </w:t>
      </w:r>
      <w:r w:rsidR="00E4148E">
        <w:rPr>
          <w:sz w:val="28"/>
          <w:szCs w:val="28"/>
        </w:rPr>
        <w:t>округов</w:t>
      </w:r>
      <w:r w:rsidRPr="00573892">
        <w:rPr>
          <w:sz w:val="28"/>
          <w:szCs w:val="28"/>
        </w:rPr>
        <w:t xml:space="preserve"> направлены официальные уведомления о включении в программу. Реализация проекта началась в октябре на установочном семинаре в Москве, в декабре состоялись первые вебинары.</w:t>
      </w:r>
    </w:p>
    <w:p w14:paraId="0DB54DFF" w14:textId="77777777" w:rsidR="00573892" w:rsidRPr="00573892" w:rsidRDefault="00573892" w:rsidP="00573892">
      <w:pPr>
        <w:spacing w:line="360" w:lineRule="auto"/>
        <w:ind w:firstLine="709"/>
        <w:jc w:val="both"/>
        <w:rPr>
          <w:sz w:val="28"/>
          <w:szCs w:val="28"/>
        </w:rPr>
      </w:pPr>
      <w:r w:rsidRPr="00573892">
        <w:rPr>
          <w:sz w:val="28"/>
          <w:szCs w:val="28"/>
        </w:rPr>
        <w:t xml:space="preserve">Важным направлением работы Совета стало продвижение положительного образа муниципального служащего. В сентябре и октябре 2025 года Совет участвовал в марафоне премии «Служение», организованном </w:t>
      </w:r>
      <w:r w:rsidRPr="00573892">
        <w:rPr>
          <w:sz w:val="28"/>
          <w:szCs w:val="28"/>
        </w:rPr>
        <w:lastRenderedPageBreak/>
        <w:t>ВАРМСУ. Аппаратом Совета подготовлены три публикации о победителях премии из Тюменской области для размещения на федеральных ресурсах.</w:t>
      </w:r>
    </w:p>
    <w:p w14:paraId="7BB0351A" w14:textId="1E30822C" w:rsidR="00774D95" w:rsidRDefault="00573892" w:rsidP="00573892">
      <w:pPr>
        <w:spacing w:line="360" w:lineRule="auto"/>
        <w:ind w:firstLine="709"/>
        <w:jc w:val="both"/>
        <w:rPr>
          <w:sz w:val="28"/>
          <w:szCs w:val="28"/>
        </w:rPr>
      </w:pPr>
      <w:r w:rsidRPr="00573892">
        <w:rPr>
          <w:sz w:val="28"/>
          <w:szCs w:val="28"/>
        </w:rPr>
        <w:t>В целом работа Совета в 2025 году способствовала укреплению кадрового потенциала муниципальных образований, повышению профессиональных компетенций работников системы местного самоуправления, расширению межрегионального взаимодействия и значимому продвижению лучших практик муниципальной службы Тюменской области на федеральном уровне.</w:t>
      </w:r>
    </w:p>
    <w:p w14:paraId="7F6FF87A" w14:textId="77777777" w:rsidR="007D381C" w:rsidRDefault="007D381C">
      <w:pPr>
        <w:spacing w:line="360" w:lineRule="auto"/>
        <w:ind w:firstLine="709"/>
        <w:jc w:val="both"/>
        <w:rPr>
          <w:sz w:val="28"/>
          <w:szCs w:val="28"/>
        </w:rPr>
      </w:pPr>
    </w:p>
    <w:p w14:paraId="31E6DE4C" w14:textId="77777777" w:rsidR="00774D95" w:rsidRDefault="00BB1C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>. ИНФОРМАЦИОННО-АНАЛИТИЧЕСКАЯ ДЕЯТЕЛЬНОСТЬ</w:t>
      </w:r>
    </w:p>
    <w:p w14:paraId="695D9038" w14:textId="2BC9C4BA" w:rsidR="00C82A8B" w:rsidRPr="00C82A8B" w:rsidRDefault="00C82A8B" w:rsidP="00C82A8B">
      <w:pPr>
        <w:spacing w:line="360" w:lineRule="auto"/>
        <w:ind w:firstLine="709"/>
        <w:jc w:val="both"/>
        <w:rPr>
          <w:sz w:val="28"/>
          <w:szCs w:val="28"/>
        </w:rPr>
      </w:pPr>
      <w:r w:rsidRPr="00C82A8B">
        <w:rPr>
          <w:sz w:val="28"/>
          <w:szCs w:val="28"/>
        </w:rPr>
        <w:t>Информационно-аналитическая деятельность в 2025 году</w:t>
      </w:r>
      <w:r w:rsidR="00AB1EF7">
        <w:rPr>
          <w:sz w:val="28"/>
          <w:szCs w:val="28"/>
        </w:rPr>
        <w:t xml:space="preserve"> </w:t>
      </w:r>
      <w:r w:rsidRPr="00C82A8B">
        <w:rPr>
          <w:sz w:val="28"/>
          <w:szCs w:val="28"/>
        </w:rPr>
        <w:t>была направлена на формирование консолидированной позиции муниципалитетов региона по вопросам развития местного самоуправления и обеспечение экспертной поддержки федеральных и региональных органов власти, а также профильных ассоциаций. Совет систематически готовил аналитические материалы, отражающие состояние муниципальной системы, практику применения законодательства и предложения по совершенствованию правового регулирования.</w:t>
      </w:r>
    </w:p>
    <w:p w14:paraId="58AE1CC2" w14:textId="1891D335" w:rsidR="00C82A8B" w:rsidRPr="00C82A8B" w:rsidRDefault="00C82A8B" w:rsidP="00C82A8B">
      <w:pPr>
        <w:spacing w:line="360" w:lineRule="auto"/>
        <w:ind w:firstLine="709"/>
        <w:jc w:val="both"/>
        <w:rPr>
          <w:sz w:val="28"/>
          <w:szCs w:val="28"/>
        </w:rPr>
      </w:pPr>
      <w:r w:rsidRPr="00C82A8B">
        <w:rPr>
          <w:sz w:val="28"/>
          <w:szCs w:val="28"/>
        </w:rPr>
        <w:t xml:space="preserve">В течение года Совет направлял федеральным и региональным партнёрам аналитические документы, подготовленные с участием </w:t>
      </w:r>
      <w:r w:rsidR="00AB1EF7">
        <w:rPr>
          <w:sz w:val="28"/>
          <w:szCs w:val="28"/>
        </w:rPr>
        <w:t>муниципального сообщества Тюменской области</w:t>
      </w:r>
      <w:r w:rsidRPr="00C82A8B">
        <w:rPr>
          <w:sz w:val="28"/>
          <w:szCs w:val="28"/>
        </w:rPr>
        <w:t>. Материалы содержали экспертные оценки, сведения о текущих вызовах и потребностях муниципалитетов, а также предложения по корректировке нормативно-правовой базы. Это обеспечивало формирование объективной картины функционирования местного самоуправления в регионе и способствовало учёту интересов муниципалитетов в федеральной повестке.</w:t>
      </w:r>
    </w:p>
    <w:p w14:paraId="45E8FCFD" w14:textId="0C1AA7C2" w:rsidR="00C82A8B" w:rsidRPr="00C82A8B" w:rsidRDefault="00C82A8B" w:rsidP="00C82A8B">
      <w:pPr>
        <w:spacing w:line="360" w:lineRule="auto"/>
        <w:ind w:firstLine="709"/>
        <w:jc w:val="both"/>
        <w:rPr>
          <w:sz w:val="28"/>
          <w:szCs w:val="28"/>
        </w:rPr>
      </w:pPr>
      <w:r w:rsidRPr="00C82A8B">
        <w:rPr>
          <w:sz w:val="28"/>
          <w:szCs w:val="28"/>
        </w:rPr>
        <w:t>Значимой частью работы стало использование аналитических материалов Совета при подготовке ежегодного доклада ВАРМСУ Правительству Российской Федерации «О состоянии местного самоуправления в РФ в 202</w:t>
      </w:r>
      <w:r w:rsidR="00AB1EF7">
        <w:rPr>
          <w:sz w:val="28"/>
          <w:szCs w:val="28"/>
        </w:rPr>
        <w:t>5</w:t>
      </w:r>
      <w:r w:rsidRPr="00C82A8B">
        <w:rPr>
          <w:sz w:val="28"/>
          <w:szCs w:val="28"/>
        </w:rPr>
        <w:t xml:space="preserve"> году, перспективах его развития и предложениях по совершенствованию организации местного самоуправления в РФ». Кроме </w:t>
      </w:r>
      <w:r w:rsidRPr="00C82A8B">
        <w:rPr>
          <w:sz w:val="28"/>
          <w:szCs w:val="28"/>
        </w:rPr>
        <w:lastRenderedPageBreak/>
        <w:t>того, Совет совместно с Общероссийской ассамблеей развития территорий и общественного самоуправления участвовал в подготовке проектов модельных документов о формах непосредственного участия населения в осуществлении местного самоуправления. Указанные материалы разрабатывались с учётом положений Федерального закона от 20.03.2025 № 33-ФЗ «Об общих принципах организации местного самоуправления в единой системе публичной власти.</w:t>
      </w:r>
    </w:p>
    <w:p w14:paraId="6FAE889C" w14:textId="48067901" w:rsidR="00C82A8B" w:rsidRPr="00C82A8B" w:rsidRDefault="00C82A8B" w:rsidP="00C82A8B">
      <w:pPr>
        <w:spacing w:line="360" w:lineRule="auto"/>
        <w:ind w:firstLine="709"/>
        <w:jc w:val="both"/>
        <w:rPr>
          <w:sz w:val="28"/>
          <w:szCs w:val="28"/>
        </w:rPr>
      </w:pPr>
      <w:r w:rsidRPr="00C82A8B">
        <w:rPr>
          <w:sz w:val="28"/>
          <w:szCs w:val="28"/>
        </w:rPr>
        <w:t xml:space="preserve">В аппарат Губернатора Тюменской области </w:t>
      </w:r>
      <w:r w:rsidR="00E50061">
        <w:rPr>
          <w:sz w:val="28"/>
          <w:szCs w:val="28"/>
        </w:rPr>
        <w:t xml:space="preserve">и </w:t>
      </w:r>
      <w:r w:rsidR="00E50061" w:rsidRPr="00C82A8B">
        <w:rPr>
          <w:sz w:val="28"/>
          <w:szCs w:val="28"/>
        </w:rPr>
        <w:t xml:space="preserve">Тюменскую областную Думу </w:t>
      </w:r>
      <w:r w:rsidRPr="00C82A8B">
        <w:rPr>
          <w:sz w:val="28"/>
          <w:szCs w:val="28"/>
        </w:rPr>
        <w:t xml:space="preserve">направлялись аналитические материалы </w:t>
      </w:r>
      <w:r w:rsidR="00E50061" w:rsidRPr="00C82A8B">
        <w:rPr>
          <w:sz w:val="28"/>
          <w:szCs w:val="28"/>
        </w:rPr>
        <w:t>по результатам мониторинга применения закона «О местном самоуправлении в Тюменской области»</w:t>
      </w:r>
      <w:r w:rsidR="00E50061">
        <w:rPr>
          <w:sz w:val="28"/>
          <w:szCs w:val="28"/>
        </w:rPr>
        <w:t xml:space="preserve"> и</w:t>
      </w:r>
      <w:r w:rsidRPr="00C82A8B">
        <w:rPr>
          <w:sz w:val="28"/>
          <w:szCs w:val="28"/>
        </w:rPr>
        <w:t xml:space="preserve"> в связи с вступлением в силу Федерального закона № 33-ФЗ, что содействовало </w:t>
      </w:r>
      <w:r w:rsidR="00E50061">
        <w:rPr>
          <w:sz w:val="28"/>
          <w:szCs w:val="28"/>
        </w:rPr>
        <w:t xml:space="preserve">включению органов местного самоуправления в единую систему публичной власти региона. </w:t>
      </w:r>
    </w:p>
    <w:p w14:paraId="5D1F2D43" w14:textId="3B5D0191" w:rsidR="00C82A8B" w:rsidRPr="00C82A8B" w:rsidRDefault="00C82A8B" w:rsidP="00C82A8B">
      <w:pPr>
        <w:spacing w:line="360" w:lineRule="auto"/>
        <w:ind w:firstLine="709"/>
        <w:jc w:val="both"/>
        <w:rPr>
          <w:sz w:val="28"/>
          <w:szCs w:val="28"/>
        </w:rPr>
      </w:pPr>
      <w:r w:rsidRPr="00C82A8B">
        <w:rPr>
          <w:sz w:val="28"/>
          <w:szCs w:val="28"/>
        </w:rPr>
        <w:t xml:space="preserve">В целом за 2025 год Советом подготовлено и направлено внешним </w:t>
      </w:r>
      <w:r w:rsidR="00FC0A38">
        <w:rPr>
          <w:sz w:val="28"/>
          <w:szCs w:val="28"/>
        </w:rPr>
        <w:t>потребителям</w:t>
      </w:r>
      <w:r w:rsidRPr="00C82A8B">
        <w:rPr>
          <w:sz w:val="28"/>
          <w:szCs w:val="28"/>
        </w:rPr>
        <w:t xml:space="preserve"> более 52 информационно-аналитических документов. Из них 41 документ направлен в</w:t>
      </w:r>
      <w:r w:rsidR="00E50061">
        <w:rPr>
          <w:sz w:val="28"/>
          <w:szCs w:val="28"/>
        </w:rPr>
        <w:t>о</w:t>
      </w:r>
      <w:r w:rsidRPr="00C82A8B">
        <w:rPr>
          <w:sz w:val="28"/>
          <w:szCs w:val="28"/>
        </w:rPr>
        <w:t xml:space="preserve"> Всероссийскую ассоциацию развития местного самоуправления, один </w:t>
      </w:r>
      <w:r w:rsidR="00FC0A38">
        <w:rPr>
          <w:sz w:val="28"/>
          <w:szCs w:val="28"/>
        </w:rPr>
        <w:t>-</w:t>
      </w:r>
      <w:r w:rsidRPr="00C82A8B">
        <w:rPr>
          <w:sz w:val="28"/>
          <w:szCs w:val="28"/>
        </w:rPr>
        <w:t xml:space="preserve"> в Общероссийскую ассамблею развития территорий и общественного самоуправления, шесть </w:t>
      </w:r>
      <w:r w:rsidR="00FC0A38">
        <w:rPr>
          <w:sz w:val="28"/>
          <w:szCs w:val="28"/>
        </w:rPr>
        <w:t>-</w:t>
      </w:r>
      <w:r w:rsidRPr="00C82A8B">
        <w:rPr>
          <w:sz w:val="28"/>
          <w:szCs w:val="28"/>
        </w:rPr>
        <w:t xml:space="preserve"> в Правительство Тюменской области, два </w:t>
      </w:r>
      <w:r w:rsidR="00FC0A38">
        <w:rPr>
          <w:sz w:val="28"/>
          <w:szCs w:val="28"/>
        </w:rPr>
        <w:t>-</w:t>
      </w:r>
      <w:r w:rsidRPr="00C82A8B">
        <w:rPr>
          <w:sz w:val="28"/>
          <w:szCs w:val="28"/>
        </w:rPr>
        <w:t xml:space="preserve"> в Тюменскую областную Думу и два </w:t>
      </w:r>
      <w:r w:rsidR="00FC0A38">
        <w:rPr>
          <w:sz w:val="28"/>
          <w:szCs w:val="28"/>
        </w:rPr>
        <w:t>-</w:t>
      </w:r>
      <w:r w:rsidRPr="00C82A8B">
        <w:rPr>
          <w:sz w:val="28"/>
          <w:szCs w:val="28"/>
        </w:rPr>
        <w:t xml:space="preserve"> в Управление Федеральной антимонопольной службы по Тюменской области.</w:t>
      </w:r>
    </w:p>
    <w:p w14:paraId="66FABD37" w14:textId="7A11E838" w:rsidR="00774D95" w:rsidRDefault="00C82A8B" w:rsidP="00C82A8B">
      <w:pPr>
        <w:spacing w:line="360" w:lineRule="auto"/>
        <w:ind w:firstLine="709"/>
        <w:jc w:val="both"/>
        <w:rPr>
          <w:sz w:val="28"/>
          <w:szCs w:val="28"/>
        </w:rPr>
      </w:pPr>
      <w:r w:rsidRPr="00C82A8B">
        <w:rPr>
          <w:sz w:val="28"/>
          <w:szCs w:val="28"/>
        </w:rPr>
        <w:t>В совокупности информационно-аналитическая деятельность Совета в 2025 году обеспечила представление позиции муниципальных образований региона на федеральном и региональном уровнях, способствовала совершенствованию нормативно-правового регулирования и укрепила экспертный потенциал муниципального сообщества Тюменской области.</w:t>
      </w:r>
    </w:p>
    <w:p w14:paraId="3C39DD5E" w14:textId="77777777" w:rsidR="00774D95" w:rsidRDefault="00774D9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12EE38B1" w14:textId="77777777" w:rsidR="00774D95" w:rsidRDefault="00BB1C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</w:rPr>
        <w:t>. МЕТОДИЧЕСКАЯ И ПРАВОВАЯ ДЕЯТЕЛЬНОСТЬ</w:t>
      </w:r>
    </w:p>
    <w:p w14:paraId="78CB6DDB" w14:textId="3BC36929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В 2025 году </w:t>
      </w:r>
      <w:r w:rsidR="00E50061">
        <w:rPr>
          <w:sz w:val="28"/>
          <w:szCs w:val="28"/>
        </w:rPr>
        <w:t>м</w:t>
      </w:r>
      <w:r w:rsidR="00E50061" w:rsidRPr="00536C35">
        <w:rPr>
          <w:sz w:val="28"/>
          <w:szCs w:val="28"/>
        </w:rPr>
        <w:t>етодическая и правовая поддержка муниципальных образований</w:t>
      </w:r>
      <w:r w:rsidR="00E50061" w:rsidRPr="00536C35">
        <w:rPr>
          <w:sz w:val="28"/>
          <w:szCs w:val="28"/>
        </w:rPr>
        <w:t xml:space="preserve"> </w:t>
      </w:r>
      <w:r w:rsidRPr="00536C35">
        <w:rPr>
          <w:sz w:val="28"/>
          <w:szCs w:val="28"/>
        </w:rPr>
        <w:t xml:space="preserve">включала консультативную, организационную, правовую и экспертную помощь муниципалитетам. Совет сопровождал органы местного самоуправления в решении вопросов местного значения, давал разъяснения по </w:t>
      </w:r>
      <w:r w:rsidRPr="00536C35">
        <w:rPr>
          <w:sz w:val="28"/>
          <w:szCs w:val="28"/>
        </w:rPr>
        <w:lastRenderedPageBreak/>
        <w:t>федеральным инициативам, координировал межведомственное взаимодействие и своевременно информировал муниципалитеты о значимых изменениях законодательства.</w:t>
      </w:r>
    </w:p>
    <w:p w14:paraId="01A76A8C" w14:textId="555B70F1" w:rsid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Важным элементом этой работы стало непосредственное взаимодействие с территориями. В течение года </w:t>
      </w:r>
      <w:r w:rsidR="00E50061">
        <w:rPr>
          <w:sz w:val="28"/>
          <w:szCs w:val="28"/>
        </w:rPr>
        <w:t>Председатель Президиума</w:t>
      </w:r>
      <w:r w:rsidR="00E50061" w:rsidRPr="00536C35">
        <w:rPr>
          <w:sz w:val="28"/>
          <w:szCs w:val="28"/>
        </w:rPr>
        <w:t xml:space="preserve"> </w:t>
      </w:r>
      <w:r w:rsidRPr="00536C35">
        <w:rPr>
          <w:sz w:val="28"/>
          <w:szCs w:val="28"/>
        </w:rPr>
        <w:t>прове</w:t>
      </w:r>
      <w:r w:rsidR="00E50061">
        <w:rPr>
          <w:sz w:val="28"/>
          <w:szCs w:val="28"/>
        </w:rPr>
        <w:t>л</w:t>
      </w:r>
      <w:r w:rsidRPr="00536C35">
        <w:rPr>
          <w:sz w:val="28"/>
          <w:szCs w:val="28"/>
        </w:rPr>
        <w:t xml:space="preserve"> рабочие выезды в Армизонский, Нижнетавдинский, Исетский, Ишимский, Сорокинский и Омутинский </w:t>
      </w:r>
      <w:r w:rsidR="00E4148E">
        <w:rPr>
          <w:sz w:val="28"/>
          <w:szCs w:val="28"/>
        </w:rPr>
        <w:t>округа</w:t>
      </w:r>
      <w:r w:rsidRPr="00536C35">
        <w:rPr>
          <w:sz w:val="28"/>
          <w:szCs w:val="28"/>
        </w:rPr>
        <w:t>. На встречах обсуждались текущие задачи, вопросы правоприменительной практики</w:t>
      </w:r>
      <w:r w:rsidR="00E50061">
        <w:rPr>
          <w:sz w:val="28"/>
          <w:szCs w:val="28"/>
        </w:rPr>
        <w:t>. Особое внимание уделено установлению рабочих связей с</w:t>
      </w:r>
      <w:r w:rsidRPr="00536C35">
        <w:rPr>
          <w:sz w:val="28"/>
          <w:szCs w:val="28"/>
        </w:rPr>
        <w:t xml:space="preserve"> вновь избранны</w:t>
      </w:r>
      <w:r w:rsidR="00E50061">
        <w:rPr>
          <w:sz w:val="28"/>
          <w:szCs w:val="28"/>
        </w:rPr>
        <w:t>ми</w:t>
      </w:r>
      <w:r w:rsidRPr="00536C35">
        <w:rPr>
          <w:sz w:val="28"/>
          <w:szCs w:val="28"/>
        </w:rPr>
        <w:t xml:space="preserve"> глав</w:t>
      </w:r>
      <w:r w:rsidR="00E50061">
        <w:rPr>
          <w:sz w:val="28"/>
          <w:szCs w:val="28"/>
        </w:rPr>
        <w:t>ами</w:t>
      </w:r>
      <w:r w:rsidRPr="00536C35">
        <w:rPr>
          <w:sz w:val="28"/>
          <w:szCs w:val="28"/>
        </w:rPr>
        <w:t xml:space="preserve"> муниципальных образований. </w:t>
      </w:r>
    </w:p>
    <w:p w14:paraId="1EFE6F82" w14:textId="3F018134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Помимо выездной работы </w:t>
      </w:r>
      <w:r>
        <w:rPr>
          <w:sz w:val="28"/>
          <w:szCs w:val="28"/>
        </w:rPr>
        <w:t>Председатель Президиума</w:t>
      </w:r>
      <w:r w:rsidRPr="00536C35">
        <w:rPr>
          <w:sz w:val="28"/>
          <w:szCs w:val="28"/>
        </w:rPr>
        <w:t xml:space="preserve"> Совета участвовал в обсуждении федеральных законодательных инициатив, в том числе проекта федерального закона № 40361-8 «Об общих принципах организации местного самоуправления в единой системе публичной власти», что позволило своевременно представить интересы муниципалитетов региона.</w:t>
      </w:r>
    </w:p>
    <w:p w14:paraId="3C647C8E" w14:textId="77777777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>Важным инструментом методической работы стали расширенные заседания Президиума Совета.</w:t>
      </w:r>
    </w:p>
    <w:p w14:paraId="760B1778" w14:textId="33A2FBAA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22 января 2025 года состоялось первое заседание, посвящённое исполнению муниципалитетами поручений Полномочного представителя Президента РФ в УрФО по поддержке участников и ветеранов СВО. Главы муниципальных образований представили реализуемые практики помощи. По итогам </w:t>
      </w:r>
      <w:r w:rsidR="002D7DB8">
        <w:rPr>
          <w:sz w:val="28"/>
          <w:szCs w:val="28"/>
        </w:rPr>
        <w:t>П</w:t>
      </w:r>
      <w:r w:rsidRPr="00536C35">
        <w:rPr>
          <w:sz w:val="28"/>
          <w:szCs w:val="28"/>
        </w:rPr>
        <w:t xml:space="preserve">редседатель Президиума В.Д. </w:t>
      </w:r>
      <w:proofErr w:type="spellStart"/>
      <w:r w:rsidRPr="00536C35">
        <w:rPr>
          <w:sz w:val="28"/>
          <w:szCs w:val="28"/>
        </w:rPr>
        <w:t>Воллерт</w:t>
      </w:r>
      <w:proofErr w:type="spellEnd"/>
      <w:r w:rsidRPr="00536C35">
        <w:rPr>
          <w:sz w:val="28"/>
          <w:szCs w:val="28"/>
        </w:rPr>
        <w:t xml:space="preserve"> подчеркнул необходимость внедрения наиболее результативных подходов.</w:t>
      </w:r>
    </w:p>
    <w:p w14:paraId="13E07E92" w14:textId="77777777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18 сентября 2025 года прошло очередное заседание в Тюмени. В работе участвовали представители всех 26 муниципальных образований. Рассмотрены вопросы обращения с животными без владельцев, противодействия препятствию вывоза твёрдых коммунальных отходов и совершенствования регулирования торговой деятельности. Приняты решения о дополнительной проработке темы безнадзорных животных, поддержаны инициативы по усилению административной ответственности за создание </w:t>
      </w:r>
      <w:r w:rsidRPr="00536C35">
        <w:rPr>
          <w:sz w:val="28"/>
          <w:szCs w:val="28"/>
        </w:rPr>
        <w:lastRenderedPageBreak/>
        <w:t>препятствий вывозу ТКО и одобрены предложения по упрощению размещения нестационарных торговых объектов.</w:t>
      </w:r>
    </w:p>
    <w:p w14:paraId="730B2A75" w14:textId="0F77C2BF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5 ноября состоялось заключительное </w:t>
      </w:r>
      <w:r w:rsidR="00F0188A">
        <w:rPr>
          <w:sz w:val="28"/>
          <w:szCs w:val="28"/>
        </w:rPr>
        <w:t xml:space="preserve">в текущем году </w:t>
      </w:r>
      <w:r w:rsidRPr="00536C35">
        <w:rPr>
          <w:sz w:val="28"/>
          <w:szCs w:val="28"/>
        </w:rPr>
        <w:t>заседание Президиума. Основное внимание уделено вопросам развития аквакультуры на водоёмах региона. Представители Нижнеобского территориального управления Росрыболовства представили разъяснения по организации рыбоводства и деятельности в водоохранных зонах. Также рассмотрены правовые аспекты работы муниципальных унитарных предприятий. В организационной части заседания определены задачи подготовки к XV</w:t>
      </w:r>
      <w:r w:rsidR="002D7DB8">
        <w:rPr>
          <w:sz w:val="28"/>
          <w:szCs w:val="28"/>
          <w:lang w:val="en-US"/>
        </w:rPr>
        <w:t>I</w:t>
      </w:r>
      <w:r w:rsidRPr="00536C35">
        <w:rPr>
          <w:sz w:val="28"/>
          <w:szCs w:val="28"/>
        </w:rPr>
        <w:t xml:space="preserve"> Съезду Совета, включая актуализацию Устава и обновление внутренних документов. </w:t>
      </w:r>
    </w:p>
    <w:p w14:paraId="6554F200" w14:textId="77777777" w:rsidR="00536C35" w:rsidRPr="00536C35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>Системная информационная работа дополняла методическую деятельность. В течение года муниципалитетам направлено более 35 информационных материалов, включая разъяснения о проведении Дня местного самоуправления, организации мероприятий к 80-летию Победы и порядка голосования за представителей региона на премию ВАРМСУ «Служение». Существенным инструментом стали ежемесячные информационные бюллетени с аналитикой актуальных изменений федерального законодательства. За год подготовлено 12 выпусков, которые способствовали повышению правовой грамотности и осведомлённости специалистов муниципального уровня.</w:t>
      </w:r>
    </w:p>
    <w:p w14:paraId="295B42C6" w14:textId="0FC84B05" w:rsidR="00774D95" w:rsidRPr="00573892" w:rsidRDefault="00536C35" w:rsidP="00536C35">
      <w:pPr>
        <w:spacing w:line="360" w:lineRule="auto"/>
        <w:ind w:firstLine="709"/>
        <w:jc w:val="both"/>
        <w:rPr>
          <w:sz w:val="28"/>
          <w:szCs w:val="28"/>
        </w:rPr>
      </w:pPr>
      <w:r w:rsidRPr="00536C35">
        <w:rPr>
          <w:sz w:val="28"/>
          <w:szCs w:val="28"/>
        </w:rPr>
        <w:t xml:space="preserve">Методическая и правовая работа Совета в 2025 году направлена на укрепление межмуниципального взаимодействия, формирование единой правовой позиции, поддержку руководителей муниципальных образований и повышение качества принимаемых управленческих решений. </w:t>
      </w:r>
      <w:r w:rsidR="002D7DB8">
        <w:rPr>
          <w:sz w:val="28"/>
          <w:szCs w:val="28"/>
        </w:rPr>
        <w:t>Д</w:t>
      </w:r>
      <w:r w:rsidRPr="00536C35">
        <w:rPr>
          <w:sz w:val="28"/>
          <w:szCs w:val="28"/>
        </w:rPr>
        <w:t>еятельность Совета обеспечила муниципалитетам доступ к актуальной информации, экспертным разъяснениям и практическим инструментам, что в совокупности укрепило систему местного самоуправления Тюменской области.</w:t>
      </w:r>
    </w:p>
    <w:p w14:paraId="35152A14" w14:textId="77777777" w:rsidR="002D7DB8" w:rsidRDefault="002D7DB8" w:rsidP="002D7DB8">
      <w:pPr>
        <w:spacing w:line="360" w:lineRule="auto"/>
        <w:jc w:val="both"/>
        <w:rPr>
          <w:sz w:val="28"/>
          <w:szCs w:val="28"/>
        </w:rPr>
      </w:pPr>
    </w:p>
    <w:p w14:paraId="2A71AD98" w14:textId="77777777" w:rsidR="002D7DB8" w:rsidRDefault="002D7DB8" w:rsidP="002D7DB8">
      <w:pPr>
        <w:spacing w:line="360" w:lineRule="auto"/>
        <w:jc w:val="both"/>
        <w:rPr>
          <w:sz w:val="28"/>
          <w:szCs w:val="28"/>
        </w:rPr>
      </w:pPr>
    </w:p>
    <w:p w14:paraId="13E342FF" w14:textId="77777777" w:rsidR="002D7DB8" w:rsidRPr="002D7DB8" w:rsidRDefault="002D7DB8" w:rsidP="002D7DB8">
      <w:pPr>
        <w:spacing w:line="360" w:lineRule="auto"/>
        <w:jc w:val="both"/>
        <w:rPr>
          <w:b/>
          <w:bCs/>
          <w:sz w:val="28"/>
          <w:szCs w:val="28"/>
        </w:rPr>
      </w:pPr>
    </w:p>
    <w:p w14:paraId="42523978" w14:textId="6C3E822F" w:rsidR="00774D95" w:rsidRDefault="00BB1C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 w:rsidRPr="0088367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ПРЕДСТАВИТЕЛЬСКАЯ ДЕЯТЕЛЬНОСТЬ</w:t>
      </w:r>
    </w:p>
    <w:p w14:paraId="57E90BE1" w14:textId="77777777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>В 2025 году Совет муниципальных образований Тюменской области продолжал активную представительскую деятельность, направленную на продвижение интересов муниципалитетов региона, укрепление межмуниципального сотрудничества и участие в ключевых федеральных и региональных процессах развития местного самоуправления. Работа велась последовательно и включала участие в значимых мероприятиях, взаимодействие с федеральными структурами и представление региона на экспертных площадках.</w:t>
      </w:r>
    </w:p>
    <w:p w14:paraId="2F5B5088" w14:textId="77777777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>Одним из центральных направлений стало участие делегаций муниципалитетов Тюменской области в региональных днях, проводимых ВАРМСУ в рамках подготовки ко II и III Всероссийским форумам «Малая Родина – сила России». Эти мероприятия служили дискуссионными площадками для обсуждения актуальных вопросов развития территорий и формирования предложений в федеральную повестку. В преддверии II Форума представители региона приняли участие в 16 региональных днях, представив эффективные практики муниципального управления и предложив свои инициативы.</w:t>
      </w:r>
    </w:p>
    <w:p w14:paraId="29BB8EF4" w14:textId="52DAEB34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>Результаты этой работы были представлены на II Всероссийском муниципальном форуме «Малая Родина – сила России», который прошёл 21–23 апреля 2025 года в Москве. Делегация Тюменской области, включавшая 31 представителя органов местного самоуправления и региональной власти, участвовала в обсуждении вопросов развития муниципального управления, поддержки гражданских инициатив и внедрения современных технологий в сферу ЖКХ. Особое значение имела встреча Президента Российской Федерации с главами муниципальных образований, где Тюменскую область представлял глава города Тобольска П.</w:t>
      </w:r>
      <w:r>
        <w:rPr>
          <w:sz w:val="28"/>
          <w:szCs w:val="28"/>
        </w:rPr>
        <w:t xml:space="preserve">А. </w:t>
      </w:r>
      <w:r w:rsidRPr="00F0188A">
        <w:rPr>
          <w:sz w:val="28"/>
          <w:szCs w:val="28"/>
        </w:rPr>
        <w:t>Вагин, рассказавший о практике реализации социальных программ.</w:t>
      </w:r>
    </w:p>
    <w:p w14:paraId="7E23F4A8" w14:textId="3F151E12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 xml:space="preserve">В ходе форума состоялось подписание соглашений о сотрудничестве между муниципалитетами Тюменской области и рядом городов других регионов. Эти документы предусматривают совместную разработку </w:t>
      </w:r>
      <w:r w:rsidRPr="00F0188A">
        <w:rPr>
          <w:sz w:val="28"/>
          <w:szCs w:val="28"/>
        </w:rPr>
        <w:lastRenderedPageBreak/>
        <w:t xml:space="preserve">нормативных правовых актов, обмен методическими материалами и развитие межмуниципальной кооперации, что создаёт условия для внедрения и распространения лучших практик. Значимым результатом стало и успешное участие представителей региона в федеральных конкурсах. На II Всероссийской муниципальной премии «Служение» Е. </w:t>
      </w:r>
      <w:proofErr w:type="spellStart"/>
      <w:r w:rsidRPr="00F0188A">
        <w:rPr>
          <w:sz w:val="28"/>
          <w:szCs w:val="28"/>
        </w:rPr>
        <w:t>Андрощук</w:t>
      </w:r>
      <w:proofErr w:type="spellEnd"/>
      <w:r w:rsidRPr="00F0188A">
        <w:rPr>
          <w:sz w:val="28"/>
          <w:szCs w:val="28"/>
        </w:rPr>
        <w:t xml:space="preserve"> (г. Тюмень) заняла третье место в номинации «Институт наставничества </w:t>
      </w:r>
      <w:r w:rsidR="00FC0A38">
        <w:rPr>
          <w:sz w:val="28"/>
          <w:szCs w:val="28"/>
        </w:rPr>
        <w:t>-</w:t>
      </w:r>
      <w:r w:rsidRPr="00F0188A">
        <w:rPr>
          <w:sz w:val="28"/>
          <w:szCs w:val="28"/>
        </w:rPr>
        <w:t xml:space="preserve"> для будущего страны», а проект предпраздничного оформления города Тюмени вошёл в десятку лучших на выставке </w:t>
      </w:r>
      <w:proofErr w:type="spellStart"/>
      <w:r w:rsidRPr="00F0188A">
        <w:rPr>
          <w:sz w:val="28"/>
          <w:szCs w:val="28"/>
        </w:rPr>
        <w:t>ParkSeason</w:t>
      </w:r>
      <w:proofErr w:type="spellEnd"/>
      <w:r w:rsidRPr="00F0188A">
        <w:rPr>
          <w:sz w:val="28"/>
          <w:szCs w:val="28"/>
        </w:rPr>
        <w:t xml:space="preserve"> Expo.</w:t>
      </w:r>
    </w:p>
    <w:p w14:paraId="4329262B" w14:textId="6F4414D2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 xml:space="preserve">Осенью 2025 года началась активная подготовка к III Всероссийскому муниципальному форуму «Малая Родина – сила России», который состоится в апреле 2026 года. Делегации Тюменской области приняли участие в региональных днях в </w:t>
      </w:r>
      <w:r w:rsidR="002D7DB8">
        <w:rPr>
          <w:sz w:val="28"/>
          <w:szCs w:val="28"/>
        </w:rPr>
        <w:t xml:space="preserve">Якутии, </w:t>
      </w:r>
      <w:r w:rsidRPr="00F0188A">
        <w:rPr>
          <w:sz w:val="28"/>
          <w:szCs w:val="28"/>
        </w:rPr>
        <w:t xml:space="preserve">Ставропольском крае и Ленинградской области, где обсуждались вопросы партнёрства государства и бизнеса, а также направления развития социальной политики. В ноябре 2025 года региональный день впервые проведён на территории Тюменской области. Мероприятие по теме «Урбанистика и архитектура: создавая будущее» собрало около 350 участников, включая представителей муниципалитетов, федеральных и региональных органов власти, общественных организаций и бизнес-сообщества. </w:t>
      </w:r>
      <w:r w:rsidR="002D7DB8">
        <w:rPr>
          <w:sz w:val="28"/>
          <w:szCs w:val="28"/>
        </w:rPr>
        <w:t xml:space="preserve">Мероприятие организовано ВАРМСУ и Администрацией Президента РФ при организационной поддержке Правительства Тюменской области. </w:t>
      </w:r>
      <w:r w:rsidRPr="00F0188A">
        <w:rPr>
          <w:sz w:val="28"/>
          <w:szCs w:val="28"/>
        </w:rPr>
        <w:t xml:space="preserve">Совет </w:t>
      </w:r>
      <w:r w:rsidR="002D7DB8">
        <w:rPr>
          <w:sz w:val="28"/>
          <w:szCs w:val="28"/>
        </w:rPr>
        <w:t xml:space="preserve">был </w:t>
      </w:r>
      <w:r w:rsidRPr="00F0188A">
        <w:rPr>
          <w:sz w:val="28"/>
          <w:szCs w:val="28"/>
        </w:rPr>
        <w:t>включ</w:t>
      </w:r>
      <w:r w:rsidR="002D7DB8">
        <w:rPr>
          <w:sz w:val="28"/>
          <w:szCs w:val="28"/>
        </w:rPr>
        <w:t xml:space="preserve">ен </w:t>
      </w:r>
      <w:r w:rsidRPr="00F0188A">
        <w:rPr>
          <w:sz w:val="28"/>
          <w:szCs w:val="28"/>
        </w:rPr>
        <w:t>в состав организационного комитета</w:t>
      </w:r>
      <w:r w:rsidR="002D7DB8">
        <w:rPr>
          <w:sz w:val="28"/>
          <w:szCs w:val="28"/>
        </w:rPr>
        <w:t>,</w:t>
      </w:r>
      <w:r>
        <w:rPr>
          <w:sz w:val="28"/>
          <w:szCs w:val="28"/>
        </w:rPr>
        <w:t xml:space="preserve"> у</w:t>
      </w:r>
      <w:r w:rsidRPr="00F0188A">
        <w:rPr>
          <w:sz w:val="28"/>
          <w:szCs w:val="28"/>
        </w:rPr>
        <w:t>правляющ</w:t>
      </w:r>
      <w:r w:rsidR="002D7DB8">
        <w:rPr>
          <w:sz w:val="28"/>
          <w:szCs w:val="28"/>
        </w:rPr>
        <w:t>ий</w:t>
      </w:r>
      <w:r w:rsidRPr="00F0188A">
        <w:rPr>
          <w:sz w:val="28"/>
          <w:szCs w:val="28"/>
        </w:rPr>
        <w:t xml:space="preserve"> делами Совета модерирова</w:t>
      </w:r>
      <w:r w:rsidR="002D7DB8">
        <w:rPr>
          <w:sz w:val="28"/>
          <w:szCs w:val="28"/>
        </w:rPr>
        <w:t>л</w:t>
      </w:r>
      <w:r w:rsidRPr="00F0188A">
        <w:rPr>
          <w:sz w:val="28"/>
          <w:szCs w:val="28"/>
        </w:rPr>
        <w:t xml:space="preserve"> одн</w:t>
      </w:r>
      <w:r w:rsidR="002D7DB8">
        <w:rPr>
          <w:sz w:val="28"/>
          <w:szCs w:val="28"/>
        </w:rPr>
        <w:t>у</w:t>
      </w:r>
      <w:r w:rsidRPr="00F0188A">
        <w:rPr>
          <w:sz w:val="28"/>
          <w:szCs w:val="28"/>
        </w:rPr>
        <w:t xml:space="preserve"> из секций </w:t>
      </w:r>
      <w:r w:rsidR="002D7DB8">
        <w:rPr>
          <w:sz w:val="28"/>
          <w:szCs w:val="28"/>
        </w:rPr>
        <w:t>регионального дня</w:t>
      </w:r>
      <w:r w:rsidRPr="00F0188A">
        <w:rPr>
          <w:sz w:val="28"/>
          <w:szCs w:val="28"/>
        </w:rPr>
        <w:t>.</w:t>
      </w:r>
    </w:p>
    <w:p w14:paraId="3702759A" w14:textId="21DFB1B4" w:rsid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 xml:space="preserve">Совет обеспечивал представительство региона на других значимых федеральных и межрегиональных площадках. В 2025 году состоялись стратегическая сессия по развитию ТОС в Луганске, Международный муниципальный форум БРИКС в Санкт-Петербурге, а также Общероссийский форум стратегического развития «Города России» в Екатеринбурге, в рамках которого прошло заседание Совета по развитию местного самоуправления при Полномочном представителе Президента РФ в УрФО. </w:t>
      </w:r>
    </w:p>
    <w:p w14:paraId="44E1B291" w14:textId="5504DF97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 xml:space="preserve">В декабре делегация Тюменской области приняла участие в Форуме ВАРМСУ «Большие решения малой Родины» и VIII Съезде ВАРМСУ, </w:t>
      </w:r>
      <w:r w:rsidRPr="00F0188A">
        <w:rPr>
          <w:sz w:val="28"/>
          <w:szCs w:val="28"/>
        </w:rPr>
        <w:lastRenderedPageBreak/>
        <w:t>прошедших в Мастерской управления «Сенеж». Проекты Тобольска и Тюмени вошли в число победителей федерального конкурса «Лучшая муниципальная практика» и были представлены среди 500 лучших практик страны.</w:t>
      </w:r>
    </w:p>
    <w:p w14:paraId="19811F92" w14:textId="77777777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>Совет также стал победителем конкурса «Эффективные системные решения Советов муниципальных образований субъектов Российской Федерации» в номинации «Кадровый потенциал» с проектом «Лучший муниципальный служащий Тюменской области». Этот результат подтвердил высокую оценку экспертным сообществом системной работы региона по развитию кадрового потенциала муниципальной службы.</w:t>
      </w:r>
    </w:p>
    <w:p w14:paraId="6D4A009F" w14:textId="60D0EF72" w:rsidR="00AF735C" w:rsidRDefault="00F0188A" w:rsidP="00AF735C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 xml:space="preserve">На региональном уровне Совет продолжал укреплять взаимодействие с органами государственной власти Тюменской области. </w:t>
      </w:r>
      <w:r w:rsidR="00C84454">
        <w:rPr>
          <w:sz w:val="28"/>
          <w:szCs w:val="28"/>
        </w:rPr>
        <w:t xml:space="preserve">Состоялась рабочая встреча </w:t>
      </w:r>
      <w:r w:rsidR="00C84454">
        <w:rPr>
          <w:sz w:val="28"/>
          <w:szCs w:val="28"/>
        </w:rPr>
        <w:t>Г</w:t>
      </w:r>
      <w:r w:rsidR="00C84454" w:rsidRPr="00F0188A">
        <w:rPr>
          <w:sz w:val="28"/>
          <w:szCs w:val="28"/>
        </w:rPr>
        <w:t>убернатор</w:t>
      </w:r>
      <w:r w:rsidR="00C84454">
        <w:rPr>
          <w:sz w:val="28"/>
          <w:szCs w:val="28"/>
        </w:rPr>
        <w:t>а</w:t>
      </w:r>
      <w:r w:rsidR="00C84454" w:rsidRPr="00F0188A">
        <w:rPr>
          <w:sz w:val="28"/>
          <w:szCs w:val="28"/>
        </w:rPr>
        <w:t xml:space="preserve"> А.В. </w:t>
      </w:r>
      <w:proofErr w:type="spellStart"/>
      <w:r w:rsidR="00C84454" w:rsidRPr="00F0188A">
        <w:rPr>
          <w:sz w:val="28"/>
          <w:szCs w:val="28"/>
        </w:rPr>
        <w:t>Моор</w:t>
      </w:r>
      <w:r w:rsidR="00C84454">
        <w:rPr>
          <w:sz w:val="28"/>
          <w:szCs w:val="28"/>
        </w:rPr>
        <w:t>а</w:t>
      </w:r>
      <w:proofErr w:type="spellEnd"/>
      <w:r w:rsidR="00C84454">
        <w:rPr>
          <w:sz w:val="28"/>
          <w:szCs w:val="28"/>
        </w:rPr>
        <w:t xml:space="preserve"> с</w:t>
      </w:r>
      <w:r w:rsidR="00C84454" w:rsidRPr="00F0188A">
        <w:rPr>
          <w:sz w:val="28"/>
          <w:szCs w:val="28"/>
        </w:rPr>
        <w:t xml:space="preserve"> </w:t>
      </w:r>
      <w:r w:rsidRPr="00F0188A">
        <w:rPr>
          <w:sz w:val="28"/>
          <w:szCs w:val="28"/>
        </w:rPr>
        <w:t>Председател</w:t>
      </w:r>
      <w:r w:rsidR="00C84454">
        <w:rPr>
          <w:sz w:val="28"/>
          <w:szCs w:val="28"/>
        </w:rPr>
        <w:t>ем</w:t>
      </w:r>
      <w:r w:rsidRPr="00F0188A">
        <w:rPr>
          <w:sz w:val="28"/>
          <w:szCs w:val="28"/>
        </w:rPr>
        <w:t xml:space="preserve"> Президиума Совета В.Д. </w:t>
      </w:r>
      <w:proofErr w:type="spellStart"/>
      <w:r w:rsidRPr="00F0188A">
        <w:rPr>
          <w:sz w:val="28"/>
          <w:szCs w:val="28"/>
        </w:rPr>
        <w:t>Воллерт</w:t>
      </w:r>
      <w:r w:rsidR="00C84454">
        <w:rPr>
          <w:sz w:val="28"/>
          <w:szCs w:val="28"/>
        </w:rPr>
        <w:t>ом</w:t>
      </w:r>
      <w:proofErr w:type="spellEnd"/>
      <w:r w:rsidRPr="00F0188A">
        <w:rPr>
          <w:sz w:val="28"/>
          <w:szCs w:val="28"/>
        </w:rPr>
        <w:t>, на которой обсуждались направления работы Совета, включая развитие гражданских инициатив и совершенствование систем управления на местах. Достигнуты договорённости о дальнейшем методическом сопровождении муниципалитетов и продолжении совместной работы по развитию местного самоуправления.</w:t>
      </w:r>
    </w:p>
    <w:p w14:paraId="48108C38" w14:textId="798E8D03" w:rsidR="00AF735C" w:rsidRPr="00AF735C" w:rsidRDefault="00AF735C" w:rsidP="00AF735C">
      <w:pPr>
        <w:spacing w:line="360" w:lineRule="auto"/>
        <w:ind w:firstLine="709"/>
        <w:jc w:val="both"/>
        <w:rPr>
          <w:sz w:val="28"/>
          <w:szCs w:val="28"/>
        </w:rPr>
      </w:pPr>
      <w:r w:rsidRPr="00AF735C">
        <w:rPr>
          <w:sz w:val="28"/>
          <w:szCs w:val="28"/>
        </w:rPr>
        <w:t xml:space="preserve">Дополнительно в 2025 </w:t>
      </w:r>
      <w:r w:rsidR="00C84454">
        <w:rPr>
          <w:sz w:val="28"/>
          <w:szCs w:val="28"/>
        </w:rPr>
        <w:t>развивалось</w:t>
      </w:r>
      <w:r w:rsidRPr="00AF735C">
        <w:rPr>
          <w:sz w:val="28"/>
          <w:szCs w:val="28"/>
        </w:rPr>
        <w:t xml:space="preserve"> системное взаимодействие с аппаратом Губернатора Тюменской области, которое являлось важным элементом региональной представительской и координационной деятельности. Аппарат Губернатора обеспечивал консультационно-информационную поддержку Совета, способствуя укреплению рабочих связей между муниципалитетами и исполнительными органами государственной власти.</w:t>
      </w:r>
    </w:p>
    <w:p w14:paraId="5B339968" w14:textId="6CC4B43B" w:rsidR="00AF735C" w:rsidRPr="00AF735C" w:rsidRDefault="00AF735C" w:rsidP="00AF735C">
      <w:pPr>
        <w:spacing w:line="360" w:lineRule="auto"/>
        <w:ind w:firstLine="709"/>
        <w:jc w:val="both"/>
        <w:rPr>
          <w:sz w:val="28"/>
          <w:szCs w:val="28"/>
        </w:rPr>
      </w:pPr>
      <w:r w:rsidRPr="00AF735C">
        <w:rPr>
          <w:sz w:val="28"/>
          <w:szCs w:val="28"/>
        </w:rPr>
        <w:t xml:space="preserve">В течение года в адрес Совета направлялись планы обучающих мероприятий региональных органов исполнительной власти для муниципальных служащих, информационные материалы федеральных ведомств и методические документы, подлежащие доведению до муниципальных образований. Совет, в свою очередь, предоставлял аппарату Губернатора материалы по запросам, касающимся развития местного </w:t>
      </w:r>
      <w:r w:rsidRPr="00AF735C">
        <w:rPr>
          <w:sz w:val="28"/>
          <w:szCs w:val="28"/>
        </w:rPr>
        <w:lastRenderedPageBreak/>
        <w:t>самоуправления, что обеспечивало учёт позиций муниципалитетов при выработке решений на региональном уровне.</w:t>
      </w:r>
    </w:p>
    <w:p w14:paraId="08EF27FA" w14:textId="77777777" w:rsidR="00AF735C" w:rsidRPr="00AF735C" w:rsidRDefault="00AF735C" w:rsidP="00AF735C">
      <w:pPr>
        <w:spacing w:line="360" w:lineRule="auto"/>
        <w:ind w:firstLine="709"/>
        <w:jc w:val="both"/>
        <w:rPr>
          <w:sz w:val="28"/>
          <w:szCs w:val="28"/>
        </w:rPr>
      </w:pPr>
      <w:r w:rsidRPr="00AF735C">
        <w:rPr>
          <w:sz w:val="28"/>
          <w:szCs w:val="28"/>
        </w:rPr>
        <w:t>Совет также привлекался как нейтральная межмуниципальная площадка для проведения мероприятий с участием представителей муниципалитетов. В рамках взаимодействия осуществлялся регулярный обмен информацией по вопросам развития форм непосредственного участия населения в осуществлении местного самоуправления, включая деятельность органов территориального общественного самоуправления, реализацию инициативных проектов, инициативное бюджетирование и работу институтов старост.</w:t>
      </w:r>
    </w:p>
    <w:p w14:paraId="16EC3219" w14:textId="1DE9D615" w:rsidR="00F0188A" w:rsidRPr="00F0188A" w:rsidRDefault="00AF735C" w:rsidP="00AF735C">
      <w:pPr>
        <w:spacing w:line="360" w:lineRule="auto"/>
        <w:ind w:firstLine="709"/>
        <w:jc w:val="both"/>
        <w:rPr>
          <w:sz w:val="28"/>
          <w:szCs w:val="28"/>
        </w:rPr>
      </w:pPr>
      <w:r w:rsidRPr="00AF735C">
        <w:rPr>
          <w:sz w:val="28"/>
          <w:szCs w:val="28"/>
        </w:rPr>
        <w:t>Важным элементом сотрудничества стало согласование подготовленного Советом ежегодного доклада о состоянии и развитии местного самоуправления в Тюменской области, а также подготовка сводной статистической информации по запросу Министерства юстиции Российской Федерации. Такое взаимодействие обеспечивало единый подход к оценке состояния муниципальной системы региона и способствовало представлению консолидированной позиции муниципальных образований на федеральном уровне.</w:t>
      </w:r>
    </w:p>
    <w:p w14:paraId="11283752" w14:textId="239D562A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>Совет продолжил работу в составе Общественного совета при Управлении ФАС России по Тюменской области, принял участие в заседаниях общественных советов УФАС Уральского федерального округа и экспертного совета при Челябинском УФАС. Тематика выступлений касалась взаимодействия муниципалитетов и предпринимательского сообщества с антимонопольным органом, предотвращения практик недобросовестной конкуренции и развития диалога в сфере регулирования.</w:t>
      </w:r>
    </w:p>
    <w:p w14:paraId="5B9F1219" w14:textId="77777777" w:rsidR="00F0188A" w:rsidRPr="00F0188A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 xml:space="preserve">Системное информационное сопровождение дополняло представительскую деятельность. В 2025 году на официальных ресурсах Совета опубликовано 43 уникальные статьи, а общий объём информационных материалов составил 179 публикаций. Это обеспечило широкое освещение участия представителей Тюменской области в федеральных и региональных </w:t>
      </w:r>
      <w:r w:rsidRPr="00F0188A">
        <w:rPr>
          <w:sz w:val="28"/>
          <w:szCs w:val="28"/>
        </w:rPr>
        <w:lastRenderedPageBreak/>
        <w:t>мероприятиях и способствовало формированию целостной картины деятельности Совета в сфере межмуниципального взаимодействия.</w:t>
      </w:r>
    </w:p>
    <w:p w14:paraId="12D0BD54" w14:textId="359D41E8" w:rsidR="00A44EC1" w:rsidRDefault="00F0188A" w:rsidP="00F0188A">
      <w:pPr>
        <w:spacing w:line="360" w:lineRule="auto"/>
        <w:ind w:firstLine="709"/>
        <w:jc w:val="both"/>
        <w:rPr>
          <w:sz w:val="28"/>
          <w:szCs w:val="28"/>
        </w:rPr>
      </w:pPr>
      <w:r w:rsidRPr="00F0188A">
        <w:rPr>
          <w:sz w:val="28"/>
          <w:szCs w:val="28"/>
        </w:rPr>
        <w:t>В целом представительская деятельность Совета в 2025 году способствовала укреплению позиций Тюменской области в системе местного самоуправления, расширению межрегионального сотрудничества, продвижению лучших муниципальных практик, а также обеспечила активное участие муниципальных команд региона в ключевых федеральных площадках и экспертных дискуссиях.</w:t>
      </w:r>
    </w:p>
    <w:p w14:paraId="13615709" w14:textId="77777777" w:rsidR="00720CEA" w:rsidRPr="00FD7725" w:rsidRDefault="00720CEA" w:rsidP="00F0188A">
      <w:pPr>
        <w:spacing w:line="360" w:lineRule="auto"/>
        <w:ind w:firstLine="709"/>
        <w:jc w:val="both"/>
        <w:rPr>
          <w:sz w:val="28"/>
          <w:szCs w:val="28"/>
        </w:rPr>
      </w:pPr>
    </w:p>
    <w:p w14:paraId="733A8A9D" w14:textId="15B318F2" w:rsidR="00774D95" w:rsidRPr="00A44EC1" w:rsidRDefault="00BB1C34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4EC1">
        <w:rPr>
          <w:b/>
          <w:bCs/>
          <w:sz w:val="28"/>
          <w:szCs w:val="28"/>
          <w:lang w:val="en-US"/>
        </w:rPr>
        <w:t>VI</w:t>
      </w:r>
      <w:r w:rsidRPr="00A44EC1">
        <w:rPr>
          <w:b/>
          <w:bCs/>
          <w:sz w:val="28"/>
          <w:szCs w:val="28"/>
        </w:rPr>
        <w:t>. ИНАЯ ПРОЕКТНАЯ ДЕЯТЕЛЬНОСТЬ</w:t>
      </w:r>
    </w:p>
    <w:p w14:paraId="64751D77" w14:textId="350D5AED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 xml:space="preserve">В 2025 году важным направлением деятельности Совета муниципальных образований Тюменской области оставалась реализация собственных проектов и привлечение ресурсов грантовой поддержки и инициативного бюджетирования для развития территорий. В последние годы при </w:t>
      </w:r>
      <w:r>
        <w:rPr>
          <w:sz w:val="28"/>
          <w:szCs w:val="28"/>
        </w:rPr>
        <w:t xml:space="preserve">участии Совета и </w:t>
      </w:r>
      <w:r w:rsidRPr="00720CEA">
        <w:rPr>
          <w:sz w:val="28"/>
          <w:szCs w:val="28"/>
        </w:rPr>
        <w:t>поддержке Президентского фонда культурных инициатив, Президентского фонда грантов, программы «Родные города» и Гранта Губернатора Тюменской области реализованы проекты общей стоимостью свыше 10 млн рублей. Эти средства направлялись на проведение социально значимых мероприятий, развитие творческого и общественного участия жителей и поддержку инфраструктуры для инициатив.</w:t>
      </w:r>
    </w:p>
    <w:p w14:paraId="7BF84242" w14:textId="77777777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В июне 2025 года по итогам конкурса Гранта Губернатора поддержку получили три проекта, подготовленные при участии Совета: «Теплица Лайт», «Наставник спорта» и «Школа ТОС». Все они были ориентированы на решение актуальных задач социального развития и вовлечение разных групп населения в творческую, спортивную и общественную деятельность.</w:t>
      </w:r>
    </w:p>
    <w:p w14:paraId="31F41E23" w14:textId="411E0F92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 xml:space="preserve">Проект «Теплица Лайт», реализованный в августе, был направлен на формирование у подростков позитивных ролевых моделей через взаимодействие с наставниками </w:t>
      </w:r>
      <w:r w:rsidR="00FC0A38">
        <w:rPr>
          <w:sz w:val="28"/>
          <w:szCs w:val="28"/>
        </w:rPr>
        <w:t>-</w:t>
      </w:r>
      <w:r w:rsidRPr="00720CEA">
        <w:rPr>
          <w:sz w:val="28"/>
          <w:szCs w:val="28"/>
        </w:rPr>
        <w:t xml:space="preserve"> профессионалами творческих направлений. За семь дней работы участники создали шесть сценических эскизов, инсталляцию и два видеоматериала. Итоговые показы посетили 448 человек, что подтвердило высокий интерес к проекту.</w:t>
      </w:r>
    </w:p>
    <w:p w14:paraId="753E9D72" w14:textId="606C032D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lastRenderedPageBreak/>
        <w:t xml:space="preserve">Проект «Наставник спорта» реализуется в течение года и завершится в июле 2026 года. Воспитанники одного из детских домов Тюменского </w:t>
      </w:r>
      <w:r w:rsidR="00E4148E">
        <w:rPr>
          <w:sz w:val="28"/>
          <w:szCs w:val="28"/>
        </w:rPr>
        <w:t>округа</w:t>
      </w:r>
      <w:r w:rsidRPr="00720CEA">
        <w:rPr>
          <w:sz w:val="28"/>
          <w:szCs w:val="28"/>
        </w:rPr>
        <w:t xml:space="preserve"> занимаются с профессиональными спортивными инструкторами, развивают дисциплину, навыки командной работы и устойчивую мотивацию к занятиям спортом. Проект способствует профилактике социального неблагополучия и формированию у подростков позитивной жизненной траектории.</w:t>
      </w:r>
    </w:p>
    <w:p w14:paraId="544B8749" w14:textId="77777777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Совет оказывал методическую и организационную поддержку Тюменскому областному фонду развития муниципальных образований и пространству «Контора пароходства» при проведении арт-фестиваля «</w:t>
      </w:r>
      <w:proofErr w:type="spellStart"/>
      <w:r w:rsidRPr="00720CEA">
        <w:rPr>
          <w:sz w:val="28"/>
          <w:szCs w:val="28"/>
        </w:rPr>
        <w:t>Артчоус</w:t>
      </w:r>
      <w:proofErr w:type="spellEnd"/>
      <w:r w:rsidRPr="00720CEA">
        <w:rPr>
          <w:sz w:val="28"/>
          <w:szCs w:val="28"/>
        </w:rPr>
        <w:t>» в Тюмени. Проект получил поддержку Президентского фонда культурных инициатив и был успешно реализован в отчётный период. Благодаря грантовым средствам расширена выставочная инфраструктура, организованы лекции, мастер-классы и музыкальная программа. Фестиваль посетили более 3000 человек, что подтвердило востребованность культурных событий, ориентированных на развитие творческой среды региона.</w:t>
      </w:r>
    </w:p>
    <w:p w14:paraId="28C0D8EB" w14:textId="2B763AC9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Продолжилась реализация проекта «Музыкальный коворкинг», поддержанного в 2022 году в рамках инициативного бюджетирования. Площадка функционировала стабильно: ей воспользовались более 10 творческих коллективов, а еженедельно занятия посеща</w:t>
      </w:r>
      <w:r w:rsidR="00583785">
        <w:rPr>
          <w:sz w:val="28"/>
          <w:szCs w:val="28"/>
        </w:rPr>
        <w:t>ют</w:t>
      </w:r>
      <w:r w:rsidRPr="00720CEA">
        <w:rPr>
          <w:sz w:val="28"/>
          <w:szCs w:val="28"/>
        </w:rPr>
        <w:t xml:space="preserve"> свыше 20 участников. Для ряда коллективов участие в проекте стало возможностью выйти на профессиональный уровень, подготовить авторские программы и выступать на открытых городских площадках летом 2025 года.</w:t>
      </w:r>
    </w:p>
    <w:p w14:paraId="239F7D8D" w14:textId="77777777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С конца 2024 года Совет выполняет функции проектного офиса для инициативных граждан, активистов и представителей территориального общественного самоуправления. В этой роли Совет предоставляет методическую поддержку, помогает разрабатывать проектные заявки и сопровождает их подачу на федеральные и региональные конкурсы. На конец 2025 года в работе находилось 14 проектов, подготовленных для участия в конкурсах Президентского фонда грантов, Президентского фонда культурных инициатив и программы «Родные города».</w:t>
      </w:r>
    </w:p>
    <w:p w14:paraId="44F9303B" w14:textId="7A3D21BA" w:rsidR="00AC45F0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lastRenderedPageBreak/>
        <w:t>В целом проектная деятельность Совета в 2025 году продемонстрировала рост вовлечённости жителей, расширение практик социального участия и повышение качества подготовки проектных инициатив. Реализованные проекты и созданные условия для поддержки общественных идей способствуют развитию муниципальных сообществ и формированию благоприятной среды для творчества, спорта и гражданской активности.</w:t>
      </w:r>
    </w:p>
    <w:p w14:paraId="6E5CD55A" w14:textId="77777777" w:rsidR="009542E9" w:rsidRDefault="009542E9" w:rsidP="009542E9">
      <w:pPr>
        <w:spacing w:line="360" w:lineRule="auto"/>
        <w:ind w:firstLine="709"/>
        <w:jc w:val="both"/>
        <w:rPr>
          <w:sz w:val="28"/>
          <w:szCs w:val="28"/>
        </w:rPr>
      </w:pPr>
    </w:p>
    <w:p w14:paraId="528BF098" w14:textId="006BA679" w:rsidR="00A44EC1" w:rsidRPr="00A44EC1" w:rsidRDefault="00A44EC1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44EC1">
        <w:rPr>
          <w:b/>
          <w:bCs/>
          <w:sz w:val="28"/>
          <w:szCs w:val="28"/>
          <w:lang w:val="en-US"/>
        </w:rPr>
        <w:t>VII</w:t>
      </w:r>
      <w:r w:rsidRPr="00A44EC1">
        <w:rPr>
          <w:b/>
          <w:bCs/>
          <w:sz w:val="28"/>
          <w:szCs w:val="28"/>
        </w:rPr>
        <w:t>. ПОДДЕРЖКА ВОЕННОСЛУЖАЩИХ, ПРИНИМАЮЩИХ УЧАСТИЕ В СВО НА УКРАИНЕ, И ЧЛЕНОВ ИХ СЕМЕЙ</w:t>
      </w:r>
    </w:p>
    <w:p w14:paraId="553D33DF" w14:textId="0A3AE478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Поддержка военнослужащих, принимающих участие в специальной военной операции, а также членов их семей является одним из ключевых направлений деятельности Совета муниципальных образований Тюменской области. Это направление закреплено в резолюции XV Съезда Совета и последовательно реализуется через включение соответствующих мероприятий в план работы и участие Совета в региональных и федеральных инициативах по поддержке защитников Отечества.</w:t>
      </w:r>
    </w:p>
    <w:p w14:paraId="023576F5" w14:textId="56B37D79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В январе 2025 года состоялось расширенное заседание Президиума Совета, посвящённое обмену опытом муниципалитетов в сфере поддержки участников и ветеранов СВО и семей военнослужащих. Главы городов</w:t>
      </w:r>
      <w:r w:rsidR="00E4148E">
        <w:rPr>
          <w:sz w:val="28"/>
          <w:szCs w:val="28"/>
        </w:rPr>
        <w:t xml:space="preserve"> и</w:t>
      </w:r>
      <w:r w:rsidRPr="00720CEA">
        <w:rPr>
          <w:sz w:val="28"/>
          <w:szCs w:val="28"/>
        </w:rPr>
        <w:t xml:space="preserve"> муниципальных округов представили действующие практики помощи, обсудили меры адресной поддержки, вопросы межведомственного взаимодействия и механизмы сотрудничества с региональными и некоммерческими организациями. Итоги обсуждения стали основой предложений Совета по совершенствованию муниципальных механизмов поддержки граждан указанной категории.</w:t>
      </w:r>
    </w:p>
    <w:p w14:paraId="0F5C6E92" w14:textId="6DE5A9EC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 xml:space="preserve">В том же месяце Совет оказал содействие Фонду труда и социальной поддержки населения г. Тобольска и Детско-юношескому центру «Град» </w:t>
      </w:r>
      <w:r>
        <w:rPr>
          <w:sz w:val="28"/>
          <w:szCs w:val="28"/>
        </w:rPr>
        <w:br/>
      </w:r>
      <w:r w:rsidRPr="00720CEA">
        <w:rPr>
          <w:sz w:val="28"/>
          <w:szCs w:val="28"/>
        </w:rPr>
        <w:t xml:space="preserve">г. Тюмени в решении задач обеспечения жизнедеятельности военнослужащих, участвующих в СВО. Средства были направлены на приобретение инструментов, комплектующих и необходимых запчастей для выполнения </w:t>
      </w:r>
      <w:r w:rsidRPr="00720CEA">
        <w:rPr>
          <w:sz w:val="28"/>
          <w:szCs w:val="28"/>
        </w:rPr>
        <w:lastRenderedPageBreak/>
        <w:t>задач на позициях. Оказанная поддержка позволила оперативно обеспечить защитников необходимым оборудованием.</w:t>
      </w:r>
    </w:p>
    <w:p w14:paraId="75F82C90" w14:textId="71BA0C0E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 xml:space="preserve">С февраля по июнь 2025 года председатель Президиума Совета В.Д. </w:t>
      </w:r>
      <w:proofErr w:type="spellStart"/>
      <w:r w:rsidRPr="00720CEA">
        <w:rPr>
          <w:sz w:val="28"/>
          <w:szCs w:val="28"/>
        </w:rPr>
        <w:t>Воллерт</w:t>
      </w:r>
      <w:proofErr w:type="spellEnd"/>
      <w:r w:rsidRPr="00720CEA">
        <w:rPr>
          <w:sz w:val="28"/>
          <w:szCs w:val="28"/>
        </w:rPr>
        <w:t xml:space="preserve"> принимал участие в работе Общественного совета регионального проекта «Боевой кадровый резерв Тюменской области» под председательством Губернатора области</w:t>
      </w:r>
      <w:r>
        <w:rPr>
          <w:sz w:val="28"/>
          <w:szCs w:val="28"/>
        </w:rPr>
        <w:t xml:space="preserve">. </w:t>
      </w:r>
      <w:r w:rsidRPr="00720CEA">
        <w:rPr>
          <w:sz w:val="28"/>
          <w:szCs w:val="28"/>
        </w:rPr>
        <w:t>Проект является региональным аналогом федеральной программы «Время героев» и направлен на повышение профессиональных компетенций участников СВО, их дальнейшее трудоустройство и адаптацию к гражданской службе. Участие в работе Общественного совета позволило включить в обсуждение вопросы муниципального уровня и сформировать предложения по развитию мер профессиональной поддержки.</w:t>
      </w:r>
    </w:p>
    <w:p w14:paraId="4558059E" w14:textId="7E7AC85D" w:rsidR="00720CEA" w:rsidRPr="00720CEA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В феврале 2025 года Совет направил в ВАРМСУ кандидатуры представителей муниципалитетов Тюменской области для участия во всероссийском мероприятии «Сильнее Стали». Его целью было освещение мер муниципальной поддержки участников СВО, семей военнослужащих и добровольцев, а также распространение эффективных практик сопровождения указанных категорий граждан.</w:t>
      </w:r>
    </w:p>
    <w:p w14:paraId="32BFB6F4" w14:textId="5CDC4B20" w:rsidR="00A44EC1" w:rsidRDefault="00720CEA" w:rsidP="00720CEA">
      <w:pPr>
        <w:spacing w:line="360" w:lineRule="auto"/>
        <w:ind w:firstLine="709"/>
        <w:jc w:val="both"/>
        <w:rPr>
          <w:sz w:val="28"/>
          <w:szCs w:val="28"/>
        </w:rPr>
      </w:pPr>
      <w:r w:rsidRPr="00720CEA">
        <w:rPr>
          <w:sz w:val="28"/>
          <w:szCs w:val="28"/>
        </w:rPr>
        <w:t>В целом в 2025 году Совет обеспечивал последовательную работу по поддержке военнослужащих и их семей, способствовал развитию межмуниципального взаимодействия в данном направлении, предоставлял методическую и организационную помощь, а также участвовал в реализации региональных и федеральных инициатив, направленных на социальную адаптацию, профессиональное развитие и устойчивое сопровождение участников специальной военной операции.</w:t>
      </w:r>
      <w:r w:rsidR="00A44EC1" w:rsidRPr="00A44EC1">
        <w:rPr>
          <w:sz w:val="28"/>
          <w:szCs w:val="28"/>
        </w:rPr>
        <w:t xml:space="preserve"> </w:t>
      </w:r>
    </w:p>
    <w:p w14:paraId="7B9C0068" w14:textId="24ACCA20" w:rsidR="00A44EC1" w:rsidRDefault="00A44EC1">
      <w:pPr>
        <w:spacing w:line="360" w:lineRule="auto"/>
        <w:ind w:firstLine="709"/>
        <w:jc w:val="both"/>
        <w:rPr>
          <w:sz w:val="28"/>
          <w:szCs w:val="28"/>
        </w:rPr>
      </w:pPr>
    </w:p>
    <w:p w14:paraId="13D2FA0E" w14:textId="134394AD" w:rsidR="00AC1F17" w:rsidRPr="00AC1F17" w:rsidRDefault="00AC1F1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C1F17">
        <w:rPr>
          <w:b/>
          <w:bCs/>
          <w:sz w:val="28"/>
          <w:szCs w:val="28"/>
          <w:lang w:val="en-US"/>
        </w:rPr>
        <w:t>VIII</w:t>
      </w:r>
      <w:r w:rsidRPr="00AC1F17">
        <w:rPr>
          <w:b/>
          <w:bCs/>
          <w:sz w:val="28"/>
          <w:szCs w:val="28"/>
        </w:rPr>
        <w:t>. ЗАКЛЮЧЕНИЕ</w:t>
      </w:r>
    </w:p>
    <w:p w14:paraId="34E65B12" w14:textId="77777777" w:rsidR="00A4681B" w:rsidRDefault="00AB3900" w:rsidP="00AB3900">
      <w:pPr>
        <w:spacing w:line="360" w:lineRule="auto"/>
        <w:ind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 xml:space="preserve">Таким образом, в отчётный период Совет осуществлял деятельность в полном соответствии с Уставом, обеспечив реализацию широкого комплекса мероприятий, направленных на развитие муниципальных образований Тюменской области. Работа была сфокусирована на поддержке гражданских </w:t>
      </w:r>
      <w:r w:rsidRPr="00AB3900">
        <w:rPr>
          <w:sz w:val="28"/>
          <w:szCs w:val="28"/>
        </w:rPr>
        <w:lastRenderedPageBreak/>
        <w:t>инициатив, укреплении волонтёрского движения, повышении квалификации муниципальных служащих и оказании методической помощи органам местного самоуправления. Существенную роль сыграла проектная деятельность, позволившая внедрять практические решения на территориях и привлекать дополнительные ресурсы Президентского фонда культурных инициатив, Президентского фонда грантов, Гранта Губернатора Тюменской области и других механизмов поддержки.</w:t>
      </w:r>
    </w:p>
    <w:p w14:paraId="4F9EF954" w14:textId="6157CDA9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Количественные итоги работы Совета за 2025 год</w:t>
      </w:r>
      <w:r>
        <w:rPr>
          <w:sz w:val="28"/>
          <w:szCs w:val="28"/>
        </w:rPr>
        <w:t>:</w:t>
      </w:r>
    </w:p>
    <w:p w14:paraId="62A18599" w14:textId="295B28A9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Проведено 4 крупных мероприятий по развитию гражданской инициативы, включая региональный Форум ТОС.</w:t>
      </w:r>
    </w:p>
    <w:p w14:paraId="36B91E95" w14:textId="3608F262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Более 100 человек приняли участие в региональном Форуме ТОС.</w:t>
      </w:r>
    </w:p>
    <w:p w14:paraId="31826129" w14:textId="111EE8FC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4 учебных выезда по развитию кадрового потенциала.</w:t>
      </w:r>
    </w:p>
    <w:p w14:paraId="3E579FAA" w14:textId="69DCC8C3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Не менее 240 участников обучающих мероприятий.</w:t>
      </w:r>
    </w:p>
    <w:p w14:paraId="6D2076C9" w14:textId="518D66BB" w:rsidR="00A4681B" w:rsidRPr="00A4681B" w:rsidRDefault="00583785" w:rsidP="00A468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100</w:t>
      </w:r>
      <w:r w:rsidR="00A4681B" w:rsidRPr="00A4681B">
        <w:rPr>
          <w:sz w:val="28"/>
          <w:szCs w:val="28"/>
        </w:rPr>
        <w:t xml:space="preserve"> публикации о победителях премии «Служение»</w:t>
      </w:r>
      <w:r>
        <w:rPr>
          <w:sz w:val="28"/>
          <w:szCs w:val="28"/>
        </w:rPr>
        <w:t xml:space="preserve"> (Марафон Служение)</w:t>
      </w:r>
      <w:r w:rsidR="00A4681B" w:rsidRPr="00A4681B">
        <w:rPr>
          <w:sz w:val="28"/>
          <w:szCs w:val="28"/>
        </w:rPr>
        <w:t>.</w:t>
      </w:r>
    </w:p>
    <w:p w14:paraId="0DC0DECE" w14:textId="1069BC60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52 аналитических документа подготовлено и направлено внешним партнёрам.</w:t>
      </w:r>
    </w:p>
    <w:p w14:paraId="4537B7DD" w14:textId="436C6114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12 ежемесячных аналитических бюллетеней.</w:t>
      </w:r>
    </w:p>
    <w:p w14:paraId="4F54DC7B" w14:textId="3B781789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6 рабочих выездов в муниципальные образования.</w:t>
      </w:r>
    </w:p>
    <w:p w14:paraId="2EAAE54F" w14:textId="2518EDF6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3 заседания Президиума.</w:t>
      </w:r>
    </w:p>
    <w:p w14:paraId="46502A20" w14:textId="5D5568B3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Более 35 информационных материалов направлено муниципалитетам.</w:t>
      </w:r>
    </w:p>
    <w:p w14:paraId="0C6CE991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Представительство региона:</w:t>
      </w:r>
    </w:p>
    <w:p w14:paraId="49490E48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участие в 16 региональных днях ВАРМСУ;</w:t>
      </w:r>
    </w:p>
    <w:p w14:paraId="12B5B940" w14:textId="7CD803EF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 xml:space="preserve">• региональный день в Тюмени — </w:t>
      </w:r>
      <w:r w:rsidR="00583785">
        <w:rPr>
          <w:sz w:val="28"/>
          <w:szCs w:val="28"/>
        </w:rPr>
        <w:t>более</w:t>
      </w:r>
      <w:r w:rsidRPr="00A4681B">
        <w:rPr>
          <w:sz w:val="28"/>
          <w:szCs w:val="28"/>
        </w:rPr>
        <w:t xml:space="preserve"> </w:t>
      </w:r>
      <w:r w:rsidR="00583785">
        <w:rPr>
          <w:sz w:val="28"/>
          <w:szCs w:val="28"/>
        </w:rPr>
        <w:t>50</w:t>
      </w:r>
      <w:r w:rsidRPr="00A4681B">
        <w:rPr>
          <w:sz w:val="28"/>
          <w:szCs w:val="28"/>
        </w:rPr>
        <w:t>0 участников;</w:t>
      </w:r>
    </w:p>
    <w:p w14:paraId="2255B62F" w14:textId="21C3CC3D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делегация на II Всероссийском форуме — 31 человек.</w:t>
      </w:r>
    </w:p>
    <w:p w14:paraId="4D3AF38D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Информационная работа:</w:t>
      </w:r>
    </w:p>
    <w:p w14:paraId="699E5730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43 уникальные статьи;</w:t>
      </w:r>
    </w:p>
    <w:p w14:paraId="2D5CE09B" w14:textId="09E38345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179 материалов опубликовано в течение года.</w:t>
      </w:r>
    </w:p>
    <w:p w14:paraId="5F215F2B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Проектная деятельность:</w:t>
      </w:r>
    </w:p>
    <w:p w14:paraId="1E4CCBB1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3 поддержанных проекта Гранта Губернатора;</w:t>
      </w:r>
    </w:p>
    <w:p w14:paraId="032EFB54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фестиваль «</w:t>
      </w:r>
      <w:proofErr w:type="spellStart"/>
      <w:r w:rsidRPr="00A4681B">
        <w:rPr>
          <w:sz w:val="28"/>
          <w:szCs w:val="28"/>
        </w:rPr>
        <w:t>Артчоус</w:t>
      </w:r>
      <w:proofErr w:type="spellEnd"/>
      <w:r w:rsidRPr="00A4681B">
        <w:rPr>
          <w:sz w:val="28"/>
          <w:szCs w:val="28"/>
        </w:rPr>
        <w:t>» — 3000+ посетителей;</w:t>
      </w:r>
    </w:p>
    <w:p w14:paraId="3C6C7791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lastRenderedPageBreak/>
        <w:t>• проект «Теплица Лайт» — 448 зрителей итоговых показов;</w:t>
      </w:r>
    </w:p>
    <w:p w14:paraId="2833DC68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«Музыкальный коворкинг» — 20+ участников еженедельно, 10+ коллективов;</w:t>
      </w:r>
    </w:p>
    <w:p w14:paraId="28F48D02" w14:textId="1D788DB4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14 проектов сопровождалось проектным офисом Совета.</w:t>
      </w:r>
    </w:p>
    <w:p w14:paraId="48D2487D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Поддержка СВО:</w:t>
      </w:r>
    </w:p>
    <w:p w14:paraId="4633B72E" w14:textId="77777777" w:rsidR="00A4681B" w:rsidRPr="00A4681B" w:rsidRDefault="00A4681B" w:rsidP="00A4681B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1 заседание Президиума по тематике СВО;</w:t>
      </w:r>
    </w:p>
    <w:p w14:paraId="08E42A07" w14:textId="51B75B59" w:rsidR="00AB3900" w:rsidRPr="00AB3900" w:rsidRDefault="00A4681B" w:rsidP="00583785">
      <w:pPr>
        <w:spacing w:line="360" w:lineRule="auto"/>
        <w:ind w:firstLine="709"/>
        <w:jc w:val="both"/>
        <w:rPr>
          <w:sz w:val="28"/>
          <w:szCs w:val="28"/>
        </w:rPr>
      </w:pPr>
      <w:r w:rsidRPr="00A4681B">
        <w:rPr>
          <w:sz w:val="28"/>
          <w:szCs w:val="28"/>
        </w:rPr>
        <w:t>• 2 организации получили адресную поддержку.</w:t>
      </w:r>
    </w:p>
    <w:p w14:paraId="342D0504" w14:textId="77777777" w:rsidR="00AB3900" w:rsidRPr="00AB3900" w:rsidRDefault="00AB3900" w:rsidP="00AB3900">
      <w:pPr>
        <w:spacing w:line="360" w:lineRule="auto"/>
        <w:ind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В 2026 году Совет продолжит работу по ключевым направлениям, выделяя в числе приоритетов:</w:t>
      </w:r>
    </w:p>
    <w:p w14:paraId="3E264651" w14:textId="77777777" w:rsidR="00AB3900" w:rsidRPr="00AB3900" w:rsidRDefault="00AB3900" w:rsidP="00AB3900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Развитие межмуниципального сотрудничества на всех уровнях, включая укрепление экономической, правовой, организационной и территориальной основы местного самоуправления в условиях возможного перехода к одноуровневой системе.</w:t>
      </w:r>
    </w:p>
    <w:p w14:paraId="5D645F6D" w14:textId="77777777" w:rsidR="00AB3900" w:rsidRPr="00AB3900" w:rsidRDefault="00AB3900" w:rsidP="00AB3900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Расширение просветительской деятельности среди жителей и муниципальных служащих с использованием современных образовательных технологий.</w:t>
      </w:r>
    </w:p>
    <w:p w14:paraId="6EADB5CE" w14:textId="77777777" w:rsidR="00AB3900" w:rsidRPr="00AB3900" w:rsidRDefault="00AB3900" w:rsidP="00AB3900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Поддержку и поощрение гражданских инициатив с применением конкурсных и стимулирующих механизмов.</w:t>
      </w:r>
    </w:p>
    <w:p w14:paraId="19249E8B" w14:textId="77777777" w:rsidR="00AB3900" w:rsidRPr="00AB3900" w:rsidRDefault="00AB3900" w:rsidP="00AB3900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Развитие кадрового потенциала муниципальных образований, включая проведение конкурса на лучшего муниципального служащего Тюменской области.</w:t>
      </w:r>
    </w:p>
    <w:p w14:paraId="2CE2F3F8" w14:textId="77777777" w:rsidR="00AB3900" w:rsidRPr="00AB3900" w:rsidRDefault="00AB3900" w:rsidP="00AB3900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Оказание правовой и методической поддержки муниципалитетам, в том числе подготовку предложений по совершенствованию регионального и федерального законодательства.</w:t>
      </w:r>
    </w:p>
    <w:p w14:paraId="19B630C9" w14:textId="77777777" w:rsidR="00AB3900" w:rsidRPr="00AB3900" w:rsidRDefault="00AB3900" w:rsidP="00AB3900">
      <w:pPr>
        <w:pStyle w:val="a9"/>
        <w:numPr>
          <w:ilvl w:val="0"/>
          <w:numId w:val="8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Содействие гуманитарным и волонтёрским инициативам, направленным на поддержку граждан, участвующих в военных действиях, их семей, а также тех, кто пострадал в ходе боевых действий.</w:t>
      </w:r>
    </w:p>
    <w:p w14:paraId="24F178DB" w14:textId="023854D4" w:rsidR="00774D95" w:rsidRPr="00AB3900" w:rsidRDefault="00AB3900" w:rsidP="00583785">
      <w:pPr>
        <w:spacing w:line="360" w:lineRule="auto"/>
        <w:ind w:firstLine="709"/>
        <w:jc w:val="both"/>
        <w:rPr>
          <w:sz w:val="28"/>
          <w:szCs w:val="28"/>
        </w:rPr>
      </w:pPr>
      <w:r w:rsidRPr="00AB3900">
        <w:rPr>
          <w:sz w:val="28"/>
          <w:szCs w:val="28"/>
        </w:rPr>
        <w:t>Реализация обозначенных задач позволит Совету и далее вносить значимый вклад в развитие муниципальной системы региона и повышение качества управления на местном уровне.</w:t>
      </w:r>
    </w:p>
    <w:p w14:paraId="5EB626D9" w14:textId="77777777" w:rsidR="00774D95" w:rsidRDefault="00774D95">
      <w:pPr>
        <w:pStyle w:val="10"/>
        <w:widowControl w:val="0"/>
        <w:spacing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sectPr w:rsidR="00774D95" w:rsidSect="004E68F6">
      <w:headerReference w:type="default" r:id="rId8"/>
      <w:footerReference w:type="default" r:id="rId9"/>
      <w:pgSz w:w="11900" w:h="16840"/>
      <w:pgMar w:top="993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B58BE" w14:textId="77777777" w:rsidR="007923C2" w:rsidRDefault="007923C2">
      <w:r>
        <w:separator/>
      </w:r>
    </w:p>
  </w:endnote>
  <w:endnote w:type="continuationSeparator" w:id="0">
    <w:p w14:paraId="1EA0E080" w14:textId="77777777" w:rsidR="007923C2" w:rsidRDefault="0079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60410" w14:textId="77777777" w:rsidR="00774D95" w:rsidRDefault="00BB1C34">
    <w:pPr>
      <w:pStyle w:val="a7"/>
      <w:tabs>
        <w:tab w:val="clear" w:pos="9355"/>
        <w:tab w:val="right" w:pos="9329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88367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AF88EA" w14:textId="77777777" w:rsidR="007923C2" w:rsidRDefault="007923C2">
      <w:r>
        <w:separator/>
      </w:r>
    </w:p>
  </w:footnote>
  <w:footnote w:type="continuationSeparator" w:id="0">
    <w:p w14:paraId="5A0943DE" w14:textId="77777777" w:rsidR="007923C2" w:rsidRDefault="0079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FFB70" w14:textId="77777777" w:rsidR="00774D95" w:rsidRDefault="00774D9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5573"/>
    <w:multiLevelType w:val="hybridMultilevel"/>
    <w:tmpl w:val="A4106736"/>
    <w:styleLink w:val="a"/>
    <w:lvl w:ilvl="0" w:tplc="E74AC58A">
      <w:start w:val="1"/>
      <w:numFmt w:val="decimal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0A2E84">
      <w:start w:val="1"/>
      <w:numFmt w:val="decimal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3AF2E0">
      <w:start w:val="1"/>
      <w:numFmt w:val="decimal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26A102">
      <w:start w:val="1"/>
      <w:numFmt w:val="decimal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9CCCCA">
      <w:start w:val="1"/>
      <w:numFmt w:val="decimal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126EF84">
      <w:start w:val="1"/>
      <w:numFmt w:val="decimal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C8F538">
      <w:start w:val="1"/>
      <w:numFmt w:val="decimal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E63C5A">
      <w:start w:val="1"/>
      <w:numFmt w:val="decimal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2DC4C58">
      <w:start w:val="1"/>
      <w:numFmt w:val="decimal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CD96910"/>
    <w:multiLevelType w:val="hybridMultilevel"/>
    <w:tmpl w:val="D1FC6F66"/>
    <w:styleLink w:val="1"/>
    <w:lvl w:ilvl="0" w:tplc="1012E0C2">
      <w:start w:val="1"/>
      <w:numFmt w:val="decimal"/>
      <w:lvlText w:val="%1."/>
      <w:lvlJc w:val="left"/>
      <w:pPr>
        <w:tabs>
          <w:tab w:val="num" w:pos="1004"/>
        </w:tabs>
        <w:ind w:left="295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9E8B84">
      <w:start w:val="1"/>
      <w:numFmt w:val="decimal"/>
      <w:lvlText w:val="%2."/>
      <w:lvlJc w:val="left"/>
      <w:pPr>
        <w:tabs>
          <w:tab w:val="left" w:pos="1004"/>
          <w:tab w:val="num" w:pos="1509"/>
        </w:tabs>
        <w:ind w:left="8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7CD43A">
      <w:start w:val="1"/>
      <w:numFmt w:val="decimal"/>
      <w:lvlText w:val="%3."/>
      <w:lvlJc w:val="left"/>
      <w:pPr>
        <w:tabs>
          <w:tab w:val="left" w:pos="1004"/>
          <w:tab w:val="num" w:pos="2309"/>
        </w:tabs>
        <w:ind w:left="16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3EE36E">
      <w:start w:val="1"/>
      <w:numFmt w:val="decimal"/>
      <w:lvlText w:val="%4."/>
      <w:lvlJc w:val="left"/>
      <w:pPr>
        <w:tabs>
          <w:tab w:val="left" w:pos="1004"/>
          <w:tab w:val="num" w:pos="3109"/>
        </w:tabs>
        <w:ind w:left="24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06768">
      <w:start w:val="1"/>
      <w:numFmt w:val="decimal"/>
      <w:lvlText w:val="%5."/>
      <w:lvlJc w:val="left"/>
      <w:pPr>
        <w:tabs>
          <w:tab w:val="left" w:pos="1004"/>
          <w:tab w:val="num" w:pos="3909"/>
        </w:tabs>
        <w:ind w:left="32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45426">
      <w:start w:val="1"/>
      <w:numFmt w:val="decimal"/>
      <w:lvlText w:val="%6."/>
      <w:lvlJc w:val="left"/>
      <w:pPr>
        <w:tabs>
          <w:tab w:val="left" w:pos="1004"/>
          <w:tab w:val="num" w:pos="4709"/>
        </w:tabs>
        <w:ind w:left="40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16EC2E">
      <w:start w:val="1"/>
      <w:numFmt w:val="decimal"/>
      <w:lvlText w:val="%7."/>
      <w:lvlJc w:val="left"/>
      <w:pPr>
        <w:tabs>
          <w:tab w:val="left" w:pos="1004"/>
          <w:tab w:val="num" w:pos="5509"/>
        </w:tabs>
        <w:ind w:left="48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0604EE">
      <w:start w:val="1"/>
      <w:numFmt w:val="decimal"/>
      <w:lvlText w:val="%8."/>
      <w:lvlJc w:val="left"/>
      <w:pPr>
        <w:tabs>
          <w:tab w:val="left" w:pos="1004"/>
          <w:tab w:val="num" w:pos="6309"/>
        </w:tabs>
        <w:ind w:left="56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76453E">
      <w:start w:val="1"/>
      <w:numFmt w:val="decimal"/>
      <w:lvlText w:val="%9."/>
      <w:lvlJc w:val="left"/>
      <w:pPr>
        <w:tabs>
          <w:tab w:val="left" w:pos="1004"/>
          <w:tab w:val="num" w:pos="7109"/>
        </w:tabs>
        <w:ind w:left="640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EE97BF4"/>
    <w:multiLevelType w:val="multilevel"/>
    <w:tmpl w:val="22F2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A26DB3"/>
    <w:multiLevelType w:val="hybridMultilevel"/>
    <w:tmpl w:val="985A28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831A11"/>
    <w:multiLevelType w:val="hybridMultilevel"/>
    <w:tmpl w:val="67FA57D8"/>
    <w:styleLink w:val="a0"/>
    <w:lvl w:ilvl="0" w:tplc="6990263C">
      <w:start w:val="1"/>
      <w:numFmt w:val="upperRoman"/>
      <w:lvlText w:val="%1."/>
      <w:lvlJc w:val="left"/>
      <w:pPr>
        <w:tabs>
          <w:tab w:val="num" w:pos="1025"/>
        </w:tabs>
        <w:ind w:left="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3C23C56">
      <w:start w:val="1"/>
      <w:numFmt w:val="upperRoman"/>
      <w:lvlText w:val="%2."/>
      <w:lvlJc w:val="left"/>
      <w:pPr>
        <w:tabs>
          <w:tab w:val="num" w:pos="2025"/>
        </w:tabs>
        <w:ind w:left="1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C65CB2">
      <w:start w:val="1"/>
      <w:numFmt w:val="upperRoman"/>
      <w:lvlText w:val="%3."/>
      <w:lvlJc w:val="left"/>
      <w:pPr>
        <w:tabs>
          <w:tab w:val="num" w:pos="3025"/>
        </w:tabs>
        <w:ind w:left="2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CCC80B4">
      <w:start w:val="1"/>
      <w:numFmt w:val="upperRoman"/>
      <w:lvlText w:val="%4."/>
      <w:lvlJc w:val="left"/>
      <w:pPr>
        <w:tabs>
          <w:tab w:val="num" w:pos="4025"/>
        </w:tabs>
        <w:ind w:left="3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7ADC7A">
      <w:start w:val="1"/>
      <w:numFmt w:val="upperRoman"/>
      <w:lvlText w:val="%5."/>
      <w:lvlJc w:val="left"/>
      <w:pPr>
        <w:tabs>
          <w:tab w:val="num" w:pos="5025"/>
        </w:tabs>
        <w:ind w:left="4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16DE04">
      <w:start w:val="1"/>
      <w:numFmt w:val="upperRoman"/>
      <w:lvlText w:val="%6."/>
      <w:lvlJc w:val="left"/>
      <w:pPr>
        <w:tabs>
          <w:tab w:val="num" w:pos="6025"/>
        </w:tabs>
        <w:ind w:left="5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6449EAA">
      <w:start w:val="1"/>
      <w:numFmt w:val="upperRoman"/>
      <w:lvlText w:val="%7."/>
      <w:lvlJc w:val="left"/>
      <w:pPr>
        <w:tabs>
          <w:tab w:val="num" w:pos="7025"/>
        </w:tabs>
        <w:ind w:left="6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32B186">
      <w:start w:val="1"/>
      <w:numFmt w:val="upperRoman"/>
      <w:lvlText w:val="%8."/>
      <w:lvlJc w:val="left"/>
      <w:pPr>
        <w:tabs>
          <w:tab w:val="num" w:pos="8025"/>
        </w:tabs>
        <w:ind w:left="7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3E24DCC">
      <w:start w:val="1"/>
      <w:numFmt w:val="upperRoman"/>
      <w:lvlText w:val="%9."/>
      <w:lvlJc w:val="left"/>
      <w:pPr>
        <w:tabs>
          <w:tab w:val="num" w:pos="9025"/>
        </w:tabs>
        <w:ind w:left="8316" w:firstLine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8315254"/>
    <w:multiLevelType w:val="hybridMultilevel"/>
    <w:tmpl w:val="67FA57D8"/>
    <w:numStyleLink w:val="a0"/>
  </w:abstractNum>
  <w:abstractNum w:abstractNumId="6" w15:restartNumberingAfterBreak="0">
    <w:nsid w:val="6A114911"/>
    <w:multiLevelType w:val="hybridMultilevel"/>
    <w:tmpl w:val="A4106736"/>
    <w:numStyleLink w:val="a"/>
  </w:abstractNum>
  <w:abstractNum w:abstractNumId="7" w15:restartNumberingAfterBreak="0">
    <w:nsid w:val="78187F81"/>
    <w:multiLevelType w:val="hybridMultilevel"/>
    <w:tmpl w:val="D1FC6F66"/>
    <w:numStyleLink w:val="1"/>
  </w:abstractNum>
  <w:num w:numId="1" w16cid:durableId="1676418041">
    <w:abstractNumId w:val="4"/>
  </w:num>
  <w:num w:numId="2" w16cid:durableId="2005545596">
    <w:abstractNumId w:val="5"/>
  </w:num>
  <w:num w:numId="3" w16cid:durableId="1097870569">
    <w:abstractNumId w:val="1"/>
  </w:num>
  <w:num w:numId="4" w16cid:durableId="1364674211">
    <w:abstractNumId w:val="7"/>
  </w:num>
  <w:num w:numId="5" w16cid:durableId="1215000200">
    <w:abstractNumId w:val="0"/>
  </w:num>
  <w:num w:numId="6" w16cid:durableId="1468471954">
    <w:abstractNumId w:val="6"/>
  </w:num>
  <w:num w:numId="7" w16cid:durableId="446504270">
    <w:abstractNumId w:val="2"/>
  </w:num>
  <w:num w:numId="8" w16cid:durableId="1500460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D95"/>
    <w:rsid w:val="00001F5E"/>
    <w:rsid w:val="00050A3F"/>
    <w:rsid w:val="000A2932"/>
    <w:rsid w:val="001F30EF"/>
    <w:rsid w:val="002D6CFD"/>
    <w:rsid w:val="002D7DB8"/>
    <w:rsid w:val="00300AE7"/>
    <w:rsid w:val="0039249C"/>
    <w:rsid w:val="003D0541"/>
    <w:rsid w:val="00436AF9"/>
    <w:rsid w:val="004649FB"/>
    <w:rsid w:val="004A17CE"/>
    <w:rsid w:val="004E3AD1"/>
    <w:rsid w:val="004E68F6"/>
    <w:rsid w:val="004F250D"/>
    <w:rsid w:val="00536C35"/>
    <w:rsid w:val="00573892"/>
    <w:rsid w:val="00583785"/>
    <w:rsid w:val="005B3140"/>
    <w:rsid w:val="005D5AFD"/>
    <w:rsid w:val="005E5A10"/>
    <w:rsid w:val="00630307"/>
    <w:rsid w:val="00663509"/>
    <w:rsid w:val="0069145A"/>
    <w:rsid w:val="006B6552"/>
    <w:rsid w:val="006C0191"/>
    <w:rsid w:val="00720CEA"/>
    <w:rsid w:val="00724BFA"/>
    <w:rsid w:val="00765D41"/>
    <w:rsid w:val="00774D95"/>
    <w:rsid w:val="00781B0F"/>
    <w:rsid w:val="007923C2"/>
    <w:rsid w:val="007D381C"/>
    <w:rsid w:val="007E2BA0"/>
    <w:rsid w:val="00821ECE"/>
    <w:rsid w:val="008226E7"/>
    <w:rsid w:val="0088367D"/>
    <w:rsid w:val="00952770"/>
    <w:rsid w:val="009542E9"/>
    <w:rsid w:val="009908EE"/>
    <w:rsid w:val="00A44EC1"/>
    <w:rsid w:val="00A4681B"/>
    <w:rsid w:val="00AB1EF7"/>
    <w:rsid w:val="00AB3900"/>
    <w:rsid w:val="00AC1F17"/>
    <w:rsid w:val="00AC45F0"/>
    <w:rsid w:val="00AF735C"/>
    <w:rsid w:val="00B13F41"/>
    <w:rsid w:val="00B8245F"/>
    <w:rsid w:val="00B97CD1"/>
    <w:rsid w:val="00BB1C34"/>
    <w:rsid w:val="00C10D0E"/>
    <w:rsid w:val="00C712E9"/>
    <w:rsid w:val="00C82A8B"/>
    <w:rsid w:val="00C84454"/>
    <w:rsid w:val="00C86A80"/>
    <w:rsid w:val="00C95383"/>
    <w:rsid w:val="00CB2686"/>
    <w:rsid w:val="00CC20C8"/>
    <w:rsid w:val="00D1418A"/>
    <w:rsid w:val="00D24631"/>
    <w:rsid w:val="00D75B97"/>
    <w:rsid w:val="00DB10E1"/>
    <w:rsid w:val="00DC687B"/>
    <w:rsid w:val="00E4148E"/>
    <w:rsid w:val="00E50061"/>
    <w:rsid w:val="00E660FA"/>
    <w:rsid w:val="00F01482"/>
    <w:rsid w:val="00F0188A"/>
    <w:rsid w:val="00FC0A38"/>
    <w:rsid w:val="00FD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32A8C"/>
  <w15:docId w15:val="{E937C446-F425-4BEF-AA06-7704743F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6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numbering" w:customStyle="1" w:styleId="a0">
    <w:name w:val="С буквами"/>
    <w:pPr>
      <w:numPr>
        <w:numId w:val="1"/>
      </w:numPr>
    </w:pPr>
  </w:style>
  <w:style w:type="paragraph" w:customStyle="1" w:styleId="10">
    <w:name w:val="Обычный1"/>
    <w:pPr>
      <w:jc w:val="both"/>
    </w:pPr>
    <w:rPr>
      <w:rFonts w:ascii="Arial" w:hAnsi="Arial" w:cs="Arial Unicode MS"/>
      <w:color w:val="000000"/>
      <w:sz w:val="24"/>
      <w:szCs w:val="24"/>
      <w:u w:color="000000"/>
    </w:rPr>
  </w:style>
  <w:style w:type="numbering" w:customStyle="1" w:styleId="1">
    <w:name w:val="Импортированный стиль 1"/>
    <w:pPr>
      <w:numPr>
        <w:numId w:val="3"/>
      </w:numPr>
    </w:pPr>
  </w:style>
  <w:style w:type="numbering" w:customStyle="1" w:styleId="a">
    <w:name w:val="С числами"/>
    <w:pPr>
      <w:numPr>
        <w:numId w:val="5"/>
      </w:numPr>
    </w:pPr>
  </w:style>
  <w:style w:type="paragraph" w:styleId="a8">
    <w:name w:val="Normal (Web)"/>
    <w:basedOn w:val="a1"/>
    <w:uiPriority w:val="99"/>
    <w:semiHidden/>
    <w:unhideWhenUsed/>
    <w:rsid w:val="00AB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styleId="a9">
    <w:name w:val="List Paragraph"/>
    <w:basedOn w:val="a1"/>
    <w:uiPriority w:val="34"/>
    <w:qFormat/>
    <w:rsid w:val="00AB3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44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B5ED5-9792-434B-B01A-AF79012B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18</Pages>
  <Words>4892</Words>
  <Characters>27887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Окатьев</dc:creator>
  <cp:lastModifiedBy>jaguarlong@gmail.com</cp:lastModifiedBy>
  <cp:revision>3</cp:revision>
  <dcterms:created xsi:type="dcterms:W3CDTF">2025-12-09T08:59:00Z</dcterms:created>
  <dcterms:modified xsi:type="dcterms:W3CDTF">2025-12-09T11:28:00Z</dcterms:modified>
</cp:coreProperties>
</file>